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themeColor="text1"/>
          <w:kern w:val="0"/>
          <w:sz w:val="28"/>
          <w:szCs w:val="28"/>
          <w:lang w:val="en-US" w:eastAsia="zh-CN"/>
          <w14:textFill>
            <w14:solidFill>
              <w14:schemeClr w14:val="tx1"/>
            </w14:solidFill>
          </w14:textFill>
        </w:rPr>
      </w:pPr>
      <w:r>
        <w:rPr>
          <w:rFonts w:hint="eastAsia" w:ascii="宋体" w:hAnsi="宋体" w:eastAsia="宋体" w:cs="宋体"/>
          <w:b/>
          <w:bCs/>
          <w:color w:val="000000" w:themeColor="text1"/>
          <w:kern w:val="0"/>
          <w:sz w:val="28"/>
          <w:szCs w:val="28"/>
          <w:lang w:val="en-US" w:eastAsia="zh-CN"/>
          <w14:textFill>
            <w14:solidFill>
              <w14:schemeClr w14:val="tx1"/>
            </w14:solidFill>
          </w14:textFill>
        </w:rPr>
        <w:t>留坝县武雪路武关河至堰坎村改建工程监理招标关键内容公示</w:t>
      </w:r>
    </w:p>
    <w:p>
      <w:pPr>
        <w:pStyle w:val="2"/>
        <w:rPr>
          <w:rFonts w:hint="eastAsia" w:ascii="宋体" w:hAnsi="宋体" w:eastAsia="宋体" w:cs="宋体"/>
          <w:lang w:val="en-US" w:eastAsia="zh-CN"/>
        </w:rPr>
      </w:pPr>
    </w:p>
    <w:p>
      <w:pPr>
        <w:snapToGrid w:val="0"/>
        <w:spacing w:line="360" w:lineRule="auto"/>
        <w:ind w:firstLine="480" w:firstLineChars="200"/>
        <w:rPr>
          <w:rFonts w:hint="eastAsia" w:ascii="宋体" w:hAnsi="宋体" w:eastAsia="宋体" w:cs="宋体"/>
          <w:color w:val="000000"/>
          <w:sz w:val="24"/>
          <w:szCs w:val="24"/>
          <w:shd w:val="clear" w:color="auto" w:fill="FFFFFF"/>
          <w:lang w:val="en-US" w:eastAsia="zh-CN" w:bidi="ar"/>
        </w:rPr>
      </w:pPr>
      <w:r>
        <w:rPr>
          <w:rFonts w:hint="eastAsia" w:ascii="宋体" w:hAnsi="宋体" w:eastAsia="宋体" w:cs="宋体"/>
          <w:color w:val="000000"/>
          <w:sz w:val="24"/>
          <w:szCs w:val="24"/>
          <w:shd w:val="clear" w:color="auto" w:fill="FFFFFF"/>
          <w:lang w:val="en-US" w:eastAsia="zh-CN" w:bidi="ar"/>
        </w:rPr>
        <w:t>由</w:t>
      </w:r>
      <w:r>
        <w:rPr>
          <w:rFonts w:hint="eastAsia" w:ascii="宋体" w:hAnsi="宋体" w:eastAsia="宋体" w:cs="宋体"/>
          <w:color w:val="000000"/>
          <w:sz w:val="24"/>
          <w:szCs w:val="24"/>
          <w:shd w:val="clear" w:color="auto" w:fill="FFFFFF"/>
          <w:lang w:val="zh-CN" w:eastAsia="zh-CN" w:bidi="ar"/>
        </w:rPr>
        <w:t>留坝县交通运输局</w:t>
      </w:r>
      <w:r>
        <w:rPr>
          <w:rFonts w:hint="eastAsia" w:ascii="宋体" w:hAnsi="宋体" w:eastAsia="宋体" w:cs="宋体"/>
          <w:color w:val="000000"/>
          <w:sz w:val="24"/>
          <w:szCs w:val="24"/>
          <w:shd w:val="clear" w:color="auto" w:fill="FFFFFF"/>
          <w:lang w:val="en-US" w:eastAsia="zh-CN" w:bidi="ar"/>
        </w:rPr>
        <w:t>组织实施的留坝县武雪路武关河至堰坎村改建工程施工及监理招标公告于2021年9月 19 日在陕西省公共资源交易中心》</w:t>
      </w:r>
      <w:r>
        <w:rPr>
          <w:rFonts w:hint="eastAsia" w:ascii="宋体" w:hAnsi="宋体" w:eastAsia="宋体" w:cs="宋体"/>
          <w:color w:val="000000"/>
          <w:sz w:val="24"/>
          <w:szCs w:val="24"/>
          <w:shd w:val="clear" w:color="auto" w:fill="FFFFFF"/>
          <w:lang w:val="en-US" w:eastAsia="en-US" w:bidi="ar"/>
        </w:rPr>
        <w:t>(www.sxggzyjy.cn)</w:t>
      </w:r>
      <w:r>
        <w:rPr>
          <w:rFonts w:hint="eastAsia" w:ascii="宋体" w:hAnsi="宋体" w:eastAsia="宋体" w:cs="宋体"/>
          <w:color w:val="000000"/>
          <w:sz w:val="24"/>
          <w:szCs w:val="24"/>
          <w:shd w:val="clear" w:color="auto" w:fill="FFFFFF"/>
          <w:lang w:val="en-US" w:eastAsia="zh-CN" w:bidi="ar"/>
        </w:rPr>
        <w:t>、《陕西釆购与招标网》</w:t>
      </w:r>
      <w:r>
        <w:rPr>
          <w:rFonts w:hint="eastAsia" w:ascii="宋体" w:hAnsi="宋体" w:eastAsia="宋体" w:cs="宋体"/>
          <w:color w:val="000000"/>
          <w:sz w:val="24"/>
          <w:szCs w:val="24"/>
          <w:shd w:val="clear" w:color="auto" w:fill="FFFFFF"/>
          <w:lang w:val="en-US" w:eastAsia="en-US" w:bidi="ar"/>
        </w:rPr>
        <w:t>(www. sntba. com)</w:t>
      </w:r>
      <w:r>
        <w:rPr>
          <w:rFonts w:hint="eastAsia" w:ascii="宋体" w:hAnsi="宋体" w:eastAsia="宋体" w:cs="宋体"/>
          <w:color w:val="000000"/>
          <w:sz w:val="24"/>
          <w:szCs w:val="24"/>
          <w:shd w:val="clear" w:color="auto" w:fill="FFFFFF"/>
          <w:lang w:val="en-US" w:eastAsia="zh-CN" w:bidi="ar"/>
        </w:rPr>
        <w:t>、《各界导报》上发布，现将施工招标文件关键内容在《</w:t>
      </w:r>
      <w:r>
        <w:rPr>
          <w:rFonts w:hint="eastAsia" w:ascii="宋体" w:hAnsi="宋体" w:eastAsia="宋体" w:cs="宋体"/>
          <w:color w:val="000000"/>
          <w:sz w:val="24"/>
          <w:szCs w:val="24"/>
          <w:shd w:val="clear" w:color="auto" w:fill="FFFFFF"/>
          <w:lang w:val="zh-CN" w:eastAsia="zh-CN" w:bidi="ar"/>
        </w:rPr>
        <w:t>留坝县</w:t>
      </w:r>
      <w:r>
        <w:rPr>
          <w:rFonts w:hint="eastAsia" w:ascii="宋体" w:hAnsi="宋体" w:eastAsia="宋体" w:cs="宋体"/>
          <w:color w:val="000000"/>
          <w:sz w:val="24"/>
          <w:szCs w:val="24"/>
          <w:shd w:val="clear" w:color="auto" w:fill="FFFFFF"/>
          <w:lang w:val="en-US" w:eastAsia="zh-CN" w:bidi="ar"/>
        </w:rPr>
        <w:t>人民政府网》（www.liuba.gov.cn）上进行公示，公示内容如下：</w:t>
      </w:r>
    </w:p>
    <w:p>
      <w:pPr>
        <w:pStyle w:val="2"/>
        <w:rPr>
          <w:rFonts w:hint="eastAsia"/>
          <w:lang w:val="en-US" w:eastAsia="zh-CN"/>
        </w:rPr>
      </w:pPr>
    </w:p>
    <w:p>
      <w:pPr>
        <w:spacing w:before="142"/>
        <w:ind w:left="143"/>
        <w:jc w:val="center"/>
        <w:rPr>
          <w:rFonts w:ascii="宋体" w:hAnsi="宋体" w:eastAsia="宋体" w:cs="宋体"/>
          <w:b/>
          <w:color w:val="000000" w:themeColor="text1"/>
          <w:sz w:val="28"/>
          <w:szCs w:val="28"/>
          <w:lang w:eastAsia="zh-CN"/>
          <w14:textFill>
            <w14:solidFill>
              <w14:schemeClr w14:val="tx1"/>
            </w14:solidFill>
          </w14:textFill>
        </w:rPr>
      </w:pPr>
      <w:r>
        <w:rPr>
          <w:rFonts w:ascii="宋体" w:hAnsi="宋体" w:eastAsia="宋体" w:cs="宋体"/>
          <w:b/>
          <w:color w:val="000000" w:themeColor="text1"/>
          <w:sz w:val="28"/>
          <w:szCs w:val="28"/>
          <w:lang w:eastAsia="zh-CN"/>
          <w14:textFill>
            <w14:solidFill>
              <w14:schemeClr w14:val="tx1"/>
            </w14:solidFill>
          </w14:textFill>
        </w:rPr>
        <w:t>附录 1  资格审查条件</w:t>
      </w:r>
      <w:r>
        <w:rPr>
          <w:rFonts w:hint="eastAsia" w:ascii="宋体" w:hAnsi="宋体" w:eastAsia="宋体" w:cs="宋体"/>
          <w:b/>
          <w:color w:val="000000" w:themeColor="text1"/>
          <w:sz w:val="28"/>
          <w:szCs w:val="28"/>
          <w:lang w:eastAsia="zh-CN"/>
          <w14:textFill>
            <w14:solidFill>
              <w14:schemeClr w14:val="tx1"/>
            </w14:solidFill>
          </w14:textFill>
        </w:rPr>
        <w:t>（</w:t>
      </w:r>
      <w:r>
        <w:rPr>
          <w:rFonts w:ascii="宋体" w:hAnsi="宋体" w:eastAsia="宋体" w:cs="宋体"/>
          <w:b/>
          <w:color w:val="000000" w:themeColor="text1"/>
          <w:sz w:val="28"/>
          <w:szCs w:val="28"/>
          <w:lang w:eastAsia="zh-CN"/>
          <w14:textFill>
            <w14:solidFill>
              <w14:schemeClr w14:val="tx1"/>
            </w14:solidFill>
          </w14:textFill>
        </w:rPr>
        <w:t>资质最低要求</w:t>
      </w:r>
      <w:r>
        <w:rPr>
          <w:rFonts w:hint="eastAsia" w:ascii="宋体" w:hAnsi="宋体" w:eastAsia="宋体" w:cs="宋体"/>
          <w:b/>
          <w:color w:val="000000" w:themeColor="text1"/>
          <w:sz w:val="28"/>
          <w:szCs w:val="28"/>
          <w:lang w:eastAsia="zh-CN"/>
          <w14:textFill>
            <w14:solidFill>
              <w14:schemeClr w14:val="tx1"/>
            </w14:solidFill>
          </w14:textFill>
        </w:rPr>
        <w:t>）</w:t>
      </w:r>
    </w:p>
    <w:p>
      <w:pPr>
        <w:spacing w:line="20" w:lineRule="exact"/>
        <w:ind w:left="241"/>
        <w:rPr>
          <w:rFonts w:ascii="宋体" w:hAnsi="宋体" w:eastAsia="宋体" w:cs="宋体"/>
          <w:color w:val="000000" w:themeColor="text1"/>
          <w:sz w:val="2"/>
          <w:szCs w:val="2"/>
          <w14:textFill>
            <w14:solidFill>
              <w14:schemeClr w14:val="tx1"/>
            </w14:solidFill>
          </w14:textFill>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9426" w:type="dxa"/>
          </w:tcPr>
          <w:p>
            <w:pPr>
              <w:widowControl/>
              <w:ind w:left="105" w:leftChars="50" w:firstLine="315" w:firstLineChars="150"/>
              <w:jc w:val="center"/>
              <w:rPr>
                <w:rFonts w:ascii="宋体" w:hAnsi="宋体" w:eastAsia="宋体" w:cs="宋体"/>
                <w:color w:val="000000" w:themeColor="text1"/>
                <w:sz w:val="20"/>
                <w:szCs w:val="20"/>
                <w14:textFill>
                  <w14:solidFill>
                    <w14:schemeClr w14:val="tx1"/>
                  </w14:solidFill>
                </w14:textFill>
              </w:rPr>
            </w:pPr>
            <w:r>
              <w:rPr>
                <w:rFonts w:hint="eastAsia" w:asciiTheme="minorEastAsia" w:hAnsiTheme="minorEastAsia" w:eastAsiaTheme="minorEastAsia" w:cstheme="minorEastAsia"/>
                <w:szCs w:val="21"/>
              </w:rPr>
              <w:t>监理企业资质等级要求</w:t>
            </w:r>
          </w:p>
          <w:p>
            <w:pPr>
              <w:rPr>
                <w:rFonts w:ascii="宋体" w:hAnsi="宋体" w:eastAsia="宋体" w:cs="宋体"/>
                <w:color w:val="000000" w:themeColor="text1"/>
                <w:sz w:val="20"/>
                <w:szCs w:val="20"/>
                <w14:textFill>
                  <w14:solidFill>
                    <w14:schemeClr w14:val="tx1"/>
                  </w14:solidFill>
                </w14:textFill>
              </w:rPr>
            </w:pPr>
          </w:p>
          <w:p>
            <w:pPr>
              <w:spacing w:line="360" w:lineRule="exact"/>
              <w:ind w:firstLine="660" w:firstLineChars="300"/>
              <w:rPr>
                <w:rFonts w:hint="eastAsia" w:ascii="宋体" w:hAnsi="宋体"/>
                <w:bCs/>
                <w:color w:val="000000"/>
                <w:sz w:val="22"/>
                <w:szCs w:val="22"/>
              </w:rPr>
            </w:pPr>
            <w:r>
              <w:rPr>
                <w:rFonts w:hint="eastAsia" w:ascii="宋体" w:hAnsi="宋体"/>
                <w:bCs/>
                <w:color w:val="000000"/>
                <w:sz w:val="22"/>
                <w:szCs w:val="22"/>
              </w:rPr>
              <w:t>监理企业资质等级要求必须同时满足以下资质最低条件：</w:t>
            </w:r>
          </w:p>
          <w:p>
            <w:pPr>
              <w:spacing w:line="360" w:lineRule="exact"/>
              <w:ind w:firstLine="550" w:firstLineChars="250"/>
              <w:rPr>
                <w:rFonts w:hint="eastAsia" w:ascii="宋体" w:hAnsi="宋体"/>
                <w:bCs/>
                <w:color w:val="000000"/>
                <w:sz w:val="22"/>
                <w:szCs w:val="22"/>
              </w:rPr>
            </w:pPr>
            <w:r>
              <w:rPr>
                <w:rFonts w:hint="eastAsia" w:ascii="宋体" w:hAnsi="宋体"/>
                <w:bCs/>
                <w:color w:val="000000"/>
                <w:sz w:val="22"/>
                <w:szCs w:val="22"/>
              </w:rPr>
              <w:t>1、投标单位必须具有独立法人资格</w:t>
            </w:r>
            <w:r>
              <w:rPr>
                <w:rFonts w:hint="eastAsia" w:ascii="宋体" w:hAnsi="宋体"/>
                <w:bCs/>
                <w:color w:val="000000"/>
                <w:sz w:val="22"/>
                <w:szCs w:val="22"/>
                <w:lang w:eastAsia="zh-CN"/>
              </w:rPr>
              <w:t>，</w:t>
            </w:r>
            <w:r>
              <w:rPr>
                <w:rFonts w:hint="eastAsia" w:ascii="宋体" w:hAnsi="宋体"/>
                <w:bCs/>
                <w:color w:val="000000"/>
                <w:sz w:val="22"/>
                <w:szCs w:val="22"/>
              </w:rPr>
              <w:t>年检合格；</w:t>
            </w:r>
          </w:p>
          <w:p>
            <w:pPr>
              <w:spacing w:line="360" w:lineRule="exact"/>
              <w:ind w:firstLine="550" w:firstLineChars="250"/>
              <w:rPr>
                <w:rFonts w:hint="eastAsia" w:ascii="宋体" w:hAnsi="宋体"/>
                <w:bCs/>
                <w:sz w:val="22"/>
                <w:szCs w:val="22"/>
              </w:rPr>
            </w:pPr>
            <w:r>
              <w:rPr>
                <w:rFonts w:hint="eastAsia" w:ascii="宋体" w:hAnsi="宋体"/>
                <w:bCs/>
                <w:color w:val="000000"/>
                <w:sz w:val="22"/>
                <w:szCs w:val="22"/>
              </w:rPr>
              <w:t>2</w:t>
            </w:r>
            <w:r>
              <w:rPr>
                <w:rFonts w:hint="eastAsia" w:ascii="宋体" w:hAnsi="宋体"/>
                <w:bCs/>
                <w:sz w:val="22"/>
                <w:szCs w:val="22"/>
              </w:rPr>
              <w:t>、投标单位具有公路工程监理</w:t>
            </w:r>
            <w:r>
              <w:rPr>
                <w:rFonts w:hint="eastAsia" w:ascii="宋体" w:hAnsi="宋体"/>
                <w:bCs/>
                <w:sz w:val="22"/>
                <w:szCs w:val="22"/>
                <w:lang w:eastAsia="zh-CN"/>
              </w:rPr>
              <w:t>乙</w:t>
            </w:r>
            <w:r>
              <w:rPr>
                <w:rFonts w:hint="eastAsia" w:ascii="宋体" w:hAnsi="宋体"/>
                <w:bCs/>
                <w:sz w:val="22"/>
                <w:szCs w:val="22"/>
              </w:rPr>
              <w:t>级及以上资质；</w:t>
            </w:r>
          </w:p>
          <w:p>
            <w:pPr>
              <w:ind w:firstLine="440" w:firstLineChars="200"/>
              <w:rPr>
                <w:rFonts w:ascii="宋体" w:hAnsi="宋体" w:eastAsia="宋体" w:cs="宋体"/>
                <w:color w:val="000000" w:themeColor="text1"/>
                <w:sz w:val="20"/>
                <w:szCs w:val="20"/>
                <w14:textFill>
                  <w14:solidFill>
                    <w14:schemeClr w14:val="tx1"/>
                  </w14:solidFill>
                </w14:textFill>
              </w:rPr>
            </w:pPr>
            <w:r>
              <w:rPr>
                <w:rFonts w:hint="eastAsia" w:ascii="宋体" w:hAnsi="宋体"/>
                <w:bCs/>
                <w:color w:val="000000"/>
                <w:sz w:val="22"/>
                <w:szCs w:val="22"/>
              </w:rPr>
              <w:t>3、本次招标投标单位必须是独家申请，本项目不接受联营体投标。</w:t>
            </w:r>
          </w:p>
          <w:p>
            <w:pPr>
              <w:spacing w:before="8"/>
              <w:rPr>
                <w:rFonts w:ascii="宋体" w:hAnsi="宋体" w:eastAsia="宋体" w:cs="宋体"/>
                <w:color w:val="000000" w:themeColor="text1"/>
                <w:sz w:val="29"/>
                <w:szCs w:val="29"/>
                <w:vertAlign w:val="baseline"/>
                <w14:textFill>
                  <w14:solidFill>
                    <w14:schemeClr w14:val="tx1"/>
                  </w14:solidFill>
                </w14:textFill>
              </w:rPr>
            </w:pPr>
          </w:p>
        </w:tc>
      </w:tr>
    </w:tbl>
    <w:p>
      <w:pPr>
        <w:rPr>
          <w:rFonts w:ascii="宋体" w:hAnsi="宋体" w:eastAsia="宋体" w:cs="宋体"/>
          <w:color w:val="000000" w:themeColor="text1"/>
          <w:sz w:val="20"/>
          <w:szCs w:val="20"/>
          <w14:textFill>
            <w14:solidFill>
              <w14:schemeClr w14:val="tx1"/>
            </w14:solidFill>
          </w14:textFill>
        </w:rPr>
      </w:pPr>
    </w:p>
    <w:p>
      <w:pPr>
        <w:pStyle w:val="2"/>
      </w:pPr>
    </w:p>
    <w:p>
      <w:pPr>
        <w:spacing w:line="400" w:lineRule="exact"/>
        <w:jc w:val="center"/>
        <w:rPr>
          <w:rFonts w:hint="eastAsia" w:ascii="宋体" w:hAnsi="宋体"/>
          <w:b/>
          <w:bCs/>
          <w:sz w:val="24"/>
        </w:rPr>
      </w:pPr>
      <w:r>
        <w:rPr>
          <w:rFonts w:ascii="宋体" w:hAnsi="宋体" w:eastAsia="宋体" w:cs="宋体"/>
          <w:b/>
          <w:color w:val="000000" w:themeColor="text1"/>
          <w:sz w:val="28"/>
          <w:szCs w:val="28"/>
          <w:lang w:eastAsia="zh-CN"/>
          <w14:textFill>
            <w14:solidFill>
              <w14:schemeClr w14:val="tx1"/>
            </w14:solidFill>
          </w14:textFill>
        </w:rPr>
        <w:t xml:space="preserve">附录 </w:t>
      </w:r>
      <w:r>
        <w:rPr>
          <w:rFonts w:hint="eastAsia" w:ascii="宋体" w:hAnsi="宋体" w:eastAsia="宋体" w:cs="宋体"/>
          <w:b/>
          <w:color w:val="000000" w:themeColor="text1"/>
          <w:sz w:val="28"/>
          <w:szCs w:val="28"/>
          <w:lang w:val="en-US" w:eastAsia="zh-CN"/>
          <w14:textFill>
            <w14:solidFill>
              <w14:schemeClr w14:val="tx1"/>
            </w14:solidFill>
          </w14:textFill>
        </w:rPr>
        <w:t>2</w:t>
      </w:r>
      <w:r>
        <w:rPr>
          <w:rFonts w:ascii="宋体" w:hAnsi="宋体" w:eastAsia="宋体" w:cs="宋体"/>
          <w:b/>
          <w:color w:val="000000" w:themeColor="text1"/>
          <w:sz w:val="28"/>
          <w:szCs w:val="28"/>
          <w:lang w:eastAsia="zh-CN"/>
          <w14:textFill>
            <w14:solidFill>
              <w14:schemeClr w14:val="tx1"/>
            </w14:solidFill>
          </w14:textFill>
        </w:rPr>
        <w:t xml:space="preserve"> </w:t>
      </w:r>
      <w:r>
        <w:rPr>
          <w:rFonts w:hint="eastAsia" w:ascii="宋体" w:hAnsi="宋体" w:eastAsia="宋体" w:cs="宋体"/>
          <w:b/>
          <w:color w:val="000000" w:themeColor="text1"/>
          <w:sz w:val="28"/>
          <w:szCs w:val="28"/>
          <w:lang w:eastAsia="zh-CN"/>
          <w14:textFill>
            <w14:solidFill>
              <w14:schemeClr w14:val="tx1"/>
            </w14:solidFill>
          </w14:textFill>
        </w:rPr>
        <w:t xml:space="preserve"> 业  绩（业绩最低要求）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63" w:type="dxa"/>
            <w:noWrap w:val="0"/>
            <w:vAlign w:val="center"/>
          </w:tcPr>
          <w:p>
            <w:pPr>
              <w:spacing w:line="400" w:lineRule="exact"/>
              <w:jc w:val="center"/>
              <w:rPr>
                <w:rFonts w:hint="eastAsia" w:ascii="宋体" w:hAnsi="宋体"/>
                <w:sz w:val="24"/>
              </w:rPr>
            </w:pPr>
            <w:r>
              <w:rPr>
                <w:rFonts w:hint="eastAsia" w:ascii="宋体" w:hAnsi="宋体"/>
                <w:sz w:val="24"/>
              </w:rPr>
              <w:t>项目</w:t>
            </w:r>
          </w:p>
        </w:tc>
        <w:tc>
          <w:tcPr>
            <w:tcW w:w="8276" w:type="dxa"/>
            <w:noWrap w:val="0"/>
            <w:vAlign w:val="center"/>
          </w:tcPr>
          <w:p>
            <w:pPr>
              <w:spacing w:line="400" w:lineRule="exact"/>
              <w:jc w:val="center"/>
              <w:rPr>
                <w:rFonts w:hint="eastAsia" w:ascii="宋体" w:hAnsi="宋体"/>
                <w:sz w:val="24"/>
              </w:rPr>
            </w:pPr>
            <w:r>
              <w:rPr>
                <w:rFonts w:hint="eastAsia" w:ascii="宋体" w:hAnsi="宋体"/>
                <w:sz w:val="24"/>
              </w:rPr>
              <w:t>要求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40" w:hRule="atLeast"/>
        </w:trPr>
        <w:tc>
          <w:tcPr>
            <w:tcW w:w="763"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20" w:lineRule="exact"/>
              <w:ind w:firstLine="330" w:firstLineChars="150"/>
              <w:rPr>
                <w:rFonts w:hint="eastAsia" w:ascii="宋体" w:hAnsi="宋体"/>
                <w:sz w:val="22"/>
                <w:szCs w:val="22"/>
              </w:rPr>
            </w:pPr>
          </w:p>
          <w:p>
            <w:pPr>
              <w:widowControl/>
              <w:snapToGrid w:val="0"/>
              <w:spacing w:line="320" w:lineRule="exact"/>
              <w:ind w:firstLine="330" w:firstLineChars="150"/>
              <w:rPr>
                <w:rFonts w:hint="eastAsia" w:ascii="宋体" w:hAnsi="宋体"/>
                <w:sz w:val="22"/>
                <w:szCs w:val="22"/>
              </w:rPr>
            </w:pPr>
          </w:p>
          <w:p>
            <w:pPr>
              <w:widowControl/>
              <w:snapToGrid w:val="0"/>
              <w:spacing w:line="360" w:lineRule="exact"/>
              <w:rPr>
                <w:rFonts w:hint="eastAsia" w:ascii="宋体" w:hAnsi="宋体"/>
                <w:sz w:val="22"/>
                <w:szCs w:val="22"/>
              </w:rPr>
            </w:pPr>
            <w:r>
              <w:rPr>
                <w:rFonts w:hint="eastAsia" w:ascii="宋体" w:hAnsi="宋体"/>
                <w:sz w:val="22"/>
                <w:szCs w:val="22"/>
              </w:rPr>
              <w:t>业绩</w:t>
            </w:r>
          </w:p>
        </w:tc>
        <w:tc>
          <w:tcPr>
            <w:tcW w:w="8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sz w:val="22"/>
                <w:szCs w:val="22"/>
              </w:rPr>
            </w:pPr>
          </w:p>
          <w:p>
            <w:pPr>
              <w:spacing w:line="360" w:lineRule="exact"/>
              <w:rPr>
                <w:rFonts w:hint="eastAsia" w:ascii="宋体" w:hAnsi="Calibri"/>
                <w:sz w:val="22"/>
                <w:szCs w:val="22"/>
              </w:rPr>
            </w:pPr>
            <w:r>
              <w:rPr>
                <w:rFonts w:hint="eastAsia" w:ascii="宋体" w:hAnsi="宋体"/>
                <w:sz w:val="22"/>
                <w:szCs w:val="22"/>
              </w:rPr>
              <w:t>监理投标企业业绩要求必须同时满足以下最低条件：</w:t>
            </w:r>
          </w:p>
          <w:p>
            <w:pPr>
              <w:widowControl/>
              <w:snapToGrid w:val="0"/>
              <w:spacing w:line="360" w:lineRule="exact"/>
              <w:ind w:firstLine="330" w:firstLineChars="150"/>
              <w:rPr>
                <w:rFonts w:hint="eastAsia" w:ascii="宋体" w:hAnsi="宋体" w:eastAsiaTheme="minorEastAsia"/>
                <w:sz w:val="22"/>
                <w:szCs w:val="22"/>
                <w:lang w:eastAsia="zh-CN"/>
              </w:rPr>
            </w:pPr>
            <w:r>
              <w:rPr>
                <w:rFonts w:hint="eastAsia" w:ascii="宋体" w:hAnsi="宋体" w:cs="宋体"/>
                <w:kern w:val="0"/>
                <w:sz w:val="22"/>
                <w:szCs w:val="22"/>
                <w:shd w:val="clear" w:color="auto" w:fill="FFFFFF"/>
              </w:rPr>
              <w:t>近三年</w:t>
            </w:r>
            <w:r>
              <w:rPr>
                <w:rFonts w:hint="eastAsia" w:ascii="宋体" w:hAnsi="Calibri"/>
                <w:sz w:val="22"/>
                <w:szCs w:val="22"/>
              </w:rPr>
              <w:t>（2019年1月1日至今</w:t>
            </w:r>
            <w:r>
              <w:rPr>
                <w:rFonts w:hint="eastAsia" w:ascii="宋体" w:hAnsi="Calibri"/>
                <w:color w:val="000000"/>
                <w:sz w:val="22"/>
                <w:szCs w:val="22"/>
              </w:rPr>
              <w:t>）</w:t>
            </w:r>
            <w:r>
              <w:rPr>
                <w:rFonts w:hint="eastAsia" w:ascii="宋体" w:hAnsi="宋体" w:cs="宋体"/>
                <w:color w:val="auto"/>
                <w:kern w:val="0"/>
                <w:sz w:val="22"/>
                <w:szCs w:val="22"/>
                <w:shd w:val="clear" w:color="auto" w:fill="FFFFFF"/>
              </w:rPr>
              <w:t>承担过至少</w:t>
            </w:r>
            <w:r>
              <w:rPr>
                <w:rFonts w:hint="eastAsia" w:ascii="宋体" w:hAnsi="宋体" w:cs="宋体"/>
                <w:color w:val="auto"/>
                <w:kern w:val="0"/>
                <w:sz w:val="22"/>
                <w:szCs w:val="22"/>
                <w:shd w:val="clear" w:color="auto" w:fill="FFFFFF"/>
                <w:lang w:val="en-US" w:eastAsia="zh-CN"/>
              </w:rPr>
              <w:t>1个沥青混凝土路面</w:t>
            </w:r>
            <w:r>
              <w:rPr>
                <w:rFonts w:hint="eastAsia" w:ascii="宋体" w:hAnsi="宋体" w:cs="宋体"/>
                <w:color w:val="auto"/>
                <w:kern w:val="0"/>
                <w:sz w:val="22"/>
                <w:szCs w:val="22"/>
                <w:shd w:val="clear" w:color="auto" w:fill="FFFFFF"/>
              </w:rPr>
              <w:t>工程监理</w:t>
            </w:r>
            <w:r>
              <w:rPr>
                <w:rFonts w:hint="eastAsia" w:ascii="宋体" w:hAnsi="宋体" w:cs="宋体"/>
                <w:color w:val="auto"/>
                <w:kern w:val="0"/>
                <w:sz w:val="22"/>
                <w:szCs w:val="22"/>
                <w:shd w:val="clear" w:color="auto" w:fill="FFFFFF"/>
                <w:lang w:eastAsia="zh-CN"/>
              </w:rPr>
              <w:t>业绩</w:t>
            </w:r>
            <w:r>
              <w:rPr>
                <w:rFonts w:hint="eastAsia" w:ascii="宋体" w:hAnsi="宋体" w:cs="宋体"/>
                <w:color w:val="auto"/>
                <w:kern w:val="0"/>
                <w:sz w:val="22"/>
                <w:szCs w:val="22"/>
                <w:shd w:val="clear" w:color="auto" w:fill="FFFFFF"/>
              </w:rPr>
              <w:t>。</w:t>
            </w:r>
            <w:r>
              <w:rPr>
                <w:rFonts w:hint="eastAsia" w:ascii="宋体" w:hAnsi="宋体" w:cs="宋体"/>
                <w:color w:val="auto"/>
                <w:kern w:val="0"/>
                <w:sz w:val="22"/>
                <w:szCs w:val="22"/>
                <w:shd w:val="clear" w:color="auto" w:fill="FFFFFF"/>
                <w:lang w:eastAsia="zh-CN"/>
              </w:rPr>
              <w:t>（应附业绩证明材料：中标通知书和合同协议书或工程接收证书（工程竣工验收报告））</w:t>
            </w:r>
          </w:p>
        </w:tc>
      </w:tr>
    </w:tbl>
    <w:p>
      <w:pPr>
        <w:rPr>
          <w:rFonts w:ascii="宋体" w:hAnsi="宋体" w:eastAsia="宋体" w:cs="宋体"/>
          <w:color w:val="000000" w:themeColor="text1"/>
          <w:sz w:val="20"/>
          <w:szCs w:val="20"/>
          <w14:textFill>
            <w14:solidFill>
              <w14:schemeClr w14:val="tx1"/>
            </w14:solidFill>
          </w14:textFill>
        </w:rPr>
      </w:pPr>
    </w:p>
    <w:p>
      <w:pPr>
        <w:pStyle w:val="2"/>
      </w:pPr>
    </w:p>
    <w:p>
      <w:pPr>
        <w:spacing w:before="120" w:after="120"/>
        <w:jc w:val="center"/>
        <w:rPr>
          <w:rFonts w:ascii="新宋体" w:hAnsi="新宋体" w:eastAsia="新宋体" w:cs="新宋体"/>
          <w:b/>
          <w:bCs/>
          <w:kern w:val="44"/>
          <w:sz w:val="30"/>
          <w:szCs w:val="30"/>
        </w:rPr>
      </w:pPr>
      <w:r>
        <w:rPr>
          <w:rFonts w:hint="eastAsia" w:ascii="新宋体" w:hAnsi="新宋体" w:eastAsia="新宋体" w:cs="新宋体"/>
          <w:b/>
          <w:bCs/>
          <w:kern w:val="44"/>
          <w:sz w:val="30"/>
          <w:szCs w:val="30"/>
        </w:rPr>
        <w:t>附录</w:t>
      </w:r>
      <w:r>
        <w:rPr>
          <w:rFonts w:hint="eastAsia" w:ascii="新宋体" w:hAnsi="新宋体" w:eastAsia="新宋体" w:cs="新宋体"/>
          <w:b/>
          <w:bCs/>
          <w:kern w:val="44"/>
          <w:sz w:val="30"/>
          <w:szCs w:val="30"/>
          <w:lang w:val="en-US" w:eastAsia="zh-CN"/>
        </w:rPr>
        <w:t>3</w:t>
      </w:r>
      <w:r>
        <w:rPr>
          <w:rFonts w:hint="eastAsia" w:ascii="新宋体" w:hAnsi="新宋体" w:eastAsia="新宋体" w:cs="新宋体"/>
          <w:b/>
          <w:bCs/>
          <w:kern w:val="44"/>
          <w:sz w:val="30"/>
          <w:szCs w:val="30"/>
        </w:rPr>
        <w:t xml:space="preserve">   资格审查条件(信誉最低要求)</w:t>
      </w:r>
    </w:p>
    <w:tbl>
      <w:tblPr>
        <w:tblStyle w:val="9"/>
        <w:tblW w:w="92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trPr>
        <w:tc>
          <w:tcPr>
            <w:tcW w:w="9239" w:type="dxa"/>
            <w:vAlign w:val="center"/>
          </w:tcPr>
          <w:p>
            <w:pPr>
              <w:widowControl/>
              <w:ind w:left="105" w:leftChars="50" w:firstLine="315" w:firstLineChars="1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7" w:hRule="atLeast"/>
        </w:trPr>
        <w:tc>
          <w:tcPr>
            <w:tcW w:w="9239" w:type="dxa"/>
            <w:vAlign w:val="center"/>
          </w:tcPr>
          <w:p>
            <w:pPr>
              <w:widowControl/>
              <w:snapToGrid w:val="0"/>
              <w:spacing w:line="360" w:lineRule="exact"/>
              <w:ind w:right="-2" w:firstLine="210" w:firstLineChars="100"/>
            </w:pPr>
            <w:r>
              <w:rPr>
                <w:rFonts w:hint="eastAsia"/>
              </w:rPr>
              <w:t>施工企业信誉要求必须同时满足以下最低条件：</w:t>
            </w:r>
          </w:p>
          <w:p>
            <w:pPr>
              <w:ind w:firstLine="210" w:firstLineChars="100"/>
              <w:rPr>
                <w:rFonts w:hint="eastAsia"/>
              </w:rPr>
            </w:pPr>
            <w:r>
              <w:rPr>
                <w:rFonts w:hint="eastAsia"/>
              </w:rPr>
              <w:t>1、在《信用中国》网站中，未被列入政府釆购严重违法失信被执行人名单、重 大税收违法案件当事人名单；</w:t>
            </w:r>
          </w:p>
          <w:p>
            <w:pPr>
              <w:ind w:firstLine="210" w:firstLineChars="100"/>
              <w:rPr>
                <w:rFonts w:hint="eastAsia"/>
              </w:rPr>
            </w:pPr>
            <w:r>
              <w:rPr>
                <w:rFonts w:hint="eastAsia"/>
              </w:rPr>
              <w:t>2、在《国家企业信用信息公示系统》中，无行政处罚记录，未被列入严重违法 失信企业黑名单、经营异常名单；</w:t>
            </w:r>
          </w:p>
          <w:p>
            <w:pPr>
              <w:ind w:firstLine="210" w:firstLineChars="100"/>
              <w:rPr>
                <w:rFonts w:hint="eastAsia"/>
              </w:rPr>
            </w:pPr>
            <w:r>
              <w:rPr>
                <w:rFonts w:hint="eastAsia"/>
              </w:rPr>
              <w:t>3、在《中国裁判文书网》企业、法定代表人、项目负责人，无行贿犯罪、贪污 贿赂等不良记录，并对近三年无行贿记录做出承诺；</w:t>
            </w:r>
          </w:p>
          <w:p>
            <w:pPr>
              <w:ind w:firstLine="210" w:firstLineChars="100"/>
              <w:rPr>
                <w:rFonts w:hint="eastAsia"/>
                <w:lang w:val="en-US" w:eastAsia="zh-CN"/>
              </w:rPr>
            </w:pPr>
            <w:r>
              <w:rPr>
                <w:rFonts w:hint="eastAsia"/>
              </w:rPr>
              <w:t>4、投标人不存在被交通运输部或陕西省交通运输厅、陕西省公路局最新的信用 评价结果列为信用评价D级或列入“黑名单”的情况。</w:t>
            </w:r>
          </w:p>
        </w:tc>
      </w:tr>
    </w:tbl>
    <w:p>
      <w:pPr>
        <w:rPr>
          <w:rFonts w:ascii="宋体" w:hAnsi="宋体" w:eastAsia="宋体" w:cs="宋体"/>
          <w:color w:val="000000" w:themeColor="text1"/>
          <w:sz w:val="20"/>
          <w:szCs w:val="20"/>
          <w14:textFill>
            <w14:solidFill>
              <w14:schemeClr w14:val="tx1"/>
            </w14:solidFill>
          </w14:textFill>
        </w:rPr>
      </w:pPr>
    </w:p>
    <w:p>
      <w:pPr>
        <w:spacing w:before="6"/>
        <w:rPr>
          <w:rFonts w:ascii="宋体" w:hAnsi="宋体" w:eastAsia="宋体" w:cs="宋体"/>
          <w:color w:val="000000" w:themeColor="text1"/>
          <w:sz w:val="28"/>
          <w:szCs w:val="28"/>
          <w:lang w:eastAsia="zh-CN"/>
          <w14:textFill>
            <w14:solidFill>
              <w14:schemeClr w14:val="tx1"/>
            </w14:solidFill>
          </w14:textFill>
        </w:rPr>
      </w:pPr>
    </w:p>
    <w:p>
      <w:pPr>
        <w:tabs>
          <w:tab w:val="left" w:pos="1433"/>
        </w:tabs>
        <w:spacing w:before="13"/>
        <w:ind w:left="382" w:right="140"/>
        <w:jc w:val="center"/>
        <w:rPr>
          <w:rFonts w:ascii="宋体" w:hAnsi="宋体" w:eastAsia="宋体" w:cs="宋体"/>
          <w:b/>
          <w:color w:val="000000" w:themeColor="text1"/>
          <w:sz w:val="27"/>
          <w:szCs w:val="27"/>
          <w:lang w:eastAsia="zh-CN"/>
          <w14:textFill>
            <w14:solidFill>
              <w14:schemeClr w14:val="tx1"/>
            </w14:solidFill>
          </w14:textFill>
        </w:rPr>
      </w:pPr>
      <w:r>
        <w:rPr>
          <w:rFonts w:ascii="宋体" w:hAnsi="宋体" w:eastAsia="宋体" w:cs="宋体"/>
          <w:b/>
          <w:color w:val="000000" w:themeColor="text1"/>
          <w:spacing w:val="-18"/>
          <w:sz w:val="28"/>
          <w:szCs w:val="28"/>
          <w:lang w:eastAsia="zh-CN"/>
          <w14:textFill>
            <w14:solidFill>
              <w14:schemeClr w14:val="tx1"/>
            </w14:solidFill>
          </w14:textFill>
        </w:rPr>
        <w:t>附录</w:t>
      </w:r>
      <w:r>
        <w:rPr>
          <w:rFonts w:ascii="宋体" w:hAnsi="宋体" w:eastAsia="宋体" w:cs="宋体"/>
          <w:b/>
          <w:color w:val="000000" w:themeColor="text1"/>
          <w:spacing w:val="-33"/>
          <w:sz w:val="28"/>
          <w:szCs w:val="28"/>
          <w:lang w:eastAsia="zh-CN"/>
          <w14:textFill>
            <w14:solidFill>
              <w14:schemeClr w14:val="tx1"/>
            </w14:solidFill>
          </w14:textFill>
        </w:rPr>
        <w:t xml:space="preserve"> </w:t>
      </w:r>
      <w:r>
        <w:rPr>
          <w:rFonts w:ascii="Arial" w:hAnsi="Arial" w:eastAsia="Arial" w:cs="Arial"/>
          <w:b/>
          <w:color w:val="000000" w:themeColor="text1"/>
          <w:sz w:val="26"/>
          <w:szCs w:val="26"/>
          <w:lang w:eastAsia="zh-CN"/>
          <w14:textFill>
            <w14:solidFill>
              <w14:schemeClr w14:val="tx1"/>
            </w14:solidFill>
          </w14:textFill>
        </w:rPr>
        <w:t>4</w:t>
      </w:r>
      <w:r>
        <w:rPr>
          <w:rFonts w:ascii="Arial" w:hAnsi="Arial" w:eastAsia="Arial" w:cs="Arial"/>
          <w:b/>
          <w:color w:val="000000" w:themeColor="text1"/>
          <w:sz w:val="26"/>
          <w:szCs w:val="26"/>
          <w:lang w:eastAsia="zh-CN"/>
          <w14:textFill>
            <w14:solidFill>
              <w14:schemeClr w14:val="tx1"/>
            </w14:solidFill>
          </w14:textFill>
        </w:rPr>
        <w:tab/>
      </w:r>
      <w:r>
        <w:rPr>
          <w:rFonts w:ascii="宋体" w:hAnsi="宋体" w:eastAsia="宋体" w:cs="宋体"/>
          <w:b/>
          <w:color w:val="000000" w:themeColor="text1"/>
          <w:spacing w:val="-22"/>
          <w:sz w:val="27"/>
          <w:szCs w:val="27"/>
          <w:lang w:eastAsia="zh-CN"/>
          <w14:textFill>
            <w14:solidFill>
              <w14:schemeClr w14:val="tx1"/>
            </w14:solidFill>
          </w14:textFill>
        </w:rPr>
        <w:t>资格审查条件</w:t>
      </w:r>
      <w:r>
        <w:rPr>
          <w:rFonts w:hint="eastAsia" w:ascii="宋体" w:hAnsi="宋体" w:eastAsia="宋体" w:cs="宋体"/>
          <w:b/>
          <w:color w:val="000000" w:themeColor="text1"/>
          <w:spacing w:val="-13"/>
          <w:sz w:val="27"/>
          <w:szCs w:val="27"/>
          <w:lang w:eastAsia="zh-CN"/>
          <w14:textFill>
            <w14:solidFill>
              <w14:schemeClr w14:val="tx1"/>
            </w14:solidFill>
          </w14:textFill>
        </w:rPr>
        <w:t>（</w:t>
      </w:r>
      <w:r>
        <w:rPr>
          <w:rFonts w:ascii="宋体" w:hAnsi="宋体" w:eastAsia="宋体" w:cs="宋体"/>
          <w:b/>
          <w:color w:val="000000" w:themeColor="text1"/>
          <w:spacing w:val="-13"/>
          <w:sz w:val="27"/>
          <w:szCs w:val="27"/>
          <w:lang w:eastAsia="zh-CN"/>
          <w14:textFill>
            <w14:solidFill>
              <w14:schemeClr w14:val="tx1"/>
            </w14:solidFill>
          </w14:textFill>
        </w:rPr>
        <w:t>总监理工程师或驻地监理工程师最低要求</w:t>
      </w:r>
      <w:r>
        <w:rPr>
          <w:rFonts w:hint="eastAsia" w:ascii="宋体" w:hAnsi="宋体" w:eastAsia="宋体" w:cs="宋体"/>
          <w:b/>
          <w:color w:val="000000" w:themeColor="text1"/>
          <w:spacing w:val="-13"/>
          <w:sz w:val="27"/>
          <w:szCs w:val="27"/>
          <w:lang w:eastAsia="zh-CN"/>
          <w14:textFill>
            <w14:solidFill>
              <w14:schemeClr w14:val="tx1"/>
            </w14:solidFill>
          </w14:textFill>
        </w:rPr>
        <w:t>）</w:t>
      </w:r>
    </w:p>
    <w:p>
      <w:pPr>
        <w:spacing w:before="5"/>
        <w:rPr>
          <w:rFonts w:ascii="宋体" w:hAnsi="宋体" w:eastAsia="宋体" w:cs="宋体"/>
          <w:color w:val="000000" w:themeColor="text1"/>
          <w:sz w:val="20"/>
          <w:szCs w:val="20"/>
          <w:lang w:eastAsia="zh-CN"/>
          <w14:textFill>
            <w14:solidFill>
              <w14:schemeClr w14:val="tx1"/>
            </w14:solidFill>
          </w14:textFill>
        </w:rPr>
      </w:pPr>
    </w:p>
    <w:tbl>
      <w:tblPr>
        <w:tblStyle w:val="14"/>
        <w:tblW w:w="0" w:type="auto"/>
        <w:jc w:val="center"/>
        <w:tblLayout w:type="fixed"/>
        <w:tblCellMar>
          <w:top w:w="0" w:type="dxa"/>
          <w:left w:w="0" w:type="dxa"/>
          <w:bottom w:w="0" w:type="dxa"/>
          <w:right w:w="0" w:type="dxa"/>
        </w:tblCellMar>
      </w:tblPr>
      <w:tblGrid>
        <w:gridCol w:w="1181"/>
        <w:gridCol w:w="1218"/>
        <w:gridCol w:w="4957"/>
        <w:gridCol w:w="1682"/>
      </w:tblGrid>
      <w:tr>
        <w:tblPrEx>
          <w:tblCellMar>
            <w:top w:w="0" w:type="dxa"/>
            <w:left w:w="0" w:type="dxa"/>
            <w:bottom w:w="0" w:type="dxa"/>
            <w:right w:w="0" w:type="dxa"/>
          </w:tblCellMar>
        </w:tblPrEx>
        <w:trPr>
          <w:trHeight w:val="1206" w:hRule="exact"/>
          <w:jc w:val="center"/>
        </w:trPr>
        <w:tc>
          <w:tcPr>
            <w:tcW w:w="1181" w:type="dxa"/>
            <w:tcBorders>
              <w:top w:val="single" w:color="000000" w:sz="4" w:space="0"/>
              <w:left w:val="single" w:color="000000" w:sz="4" w:space="0"/>
              <w:bottom w:val="single" w:color="000000" w:sz="4" w:space="0"/>
              <w:right w:val="single" w:color="000000" w:sz="4" w:space="0"/>
            </w:tcBorders>
          </w:tcPr>
          <w:p>
            <w:pPr>
              <w:pStyle w:val="13"/>
              <w:tabs>
                <w:tab w:val="left" w:pos="449"/>
              </w:tabs>
              <w:spacing w:before="136"/>
              <w:ind w:left="17"/>
              <w:jc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人</w:t>
            </w:r>
            <w:r>
              <w:rPr>
                <w:rFonts w:ascii="宋体" w:hAnsi="宋体" w:eastAsia="宋体" w:cs="宋体"/>
                <w:color w:val="000000" w:themeColor="text1"/>
                <w:sz w:val="22"/>
                <w:szCs w:val="22"/>
                <w14:textFill>
                  <w14:solidFill>
                    <w14:schemeClr w14:val="tx1"/>
                  </w14:solidFill>
                </w14:textFill>
              </w:rPr>
              <w:tab/>
            </w:r>
            <w:r>
              <w:rPr>
                <w:rFonts w:ascii="宋体" w:hAnsi="宋体" w:eastAsia="宋体" w:cs="宋体"/>
                <w:color w:val="000000" w:themeColor="text1"/>
                <w:sz w:val="22"/>
                <w:szCs w:val="22"/>
                <w14:textFill>
                  <w14:solidFill>
                    <w14:schemeClr w14:val="tx1"/>
                  </w14:solidFill>
                </w14:textFill>
              </w:rPr>
              <w:t>员</w:t>
            </w:r>
          </w:p>
        </w:tc>
        <w:tc>
          <w:tcPr>
            <w:tcW w:w="1218" w:type="dxa"/>
            <w:tcBorders>
              <w:top w:val="single" w:color="000000" w:sz="4" w:space="0"/>
              <w:left w:val="single" w:color="000000" w:sz="4" w:space="0"/>
              <w:bottom w:val="single" w:color="auto" w:sz="4" w:space="0"/>
              <w:right w:val="single" w:color="000000" w:sz="4" w:space="0"/>
            </w:tcBorders>
          </w:tcPr>
          <w:p>
            <w:pPr>
              <w:pStyle w:val="13"/>
              <w:tabs>
                <w:tab w:val="left" w:pos="883"/>
              </w:tabs>
              <w:spacing w:before="153"/>
              <w:ind w:left="455"/>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数</w:t>
            </w:r>
            <w:r>
              <w:rPr>
                <w:rFonts w:ascii="宋体" w:hAnsi="宋体" w:eastAsia="宋体" w:cs="宋体"/>
                <w:color w:val="000000" w:themeColor="text1"/>
                <w:sz w:val="22"/>
                <w:szCs w:val="22"/>
                <w14:textFill>
                  <w14:solidFill>
                    <w14:schemeClr w14:val="tx1"/>
                  </w14:solidFill>
                </w14:textFill>
              </w:rPr>
              <w:tab/>
            </w:r>
            <w:r>
              <w:rPr>
                <w:rFonts w:ascii="宋体" w:hAnsi="宋体" w:eastAsia="宋体" w:cs="宋体"/>
                <w:color w:val="000000" w:themeColor="text1"/>
                <w:sz w:val="22"/>
                <w:szCs w:val="22"/>
                <w14:textFill>
                  <w14:solidFill>
                    <w14:schemeClr w14:val="tx1"/>
                  </w14:solidFill>
                </w14:textFill>
              </w:rPr>
              <w:t>量</w:t>
            </w:r>
          </w:p>
        </w:tc>
        <w:tc>
          <w:tcPr>
            <w:tcW w:w="4957" w:type="dxa"/>
            <w:tcBorders>
              <w:top w:val="single" w:color="000000" w:sz="4" w:space="0"/>
              <w:left w:val="single" w:color="000000" w:sz="4" w:space="0"/>
              <w:bottom w:val="single" w:color="auto" w:sz="4" w:space="0"/>
              <w:right w:val="single" w:color="000000" w:sz="4" w:space="0"/>
            </w:tcBorders>
            <w:vAlign w:val="center"/>
          </w:tcPr>
          <w:p>
            <w:pPr>
              <w:pStyle w:val="13"/>
              <w:ind w:left="6"/>
              <w:jc w:val="center"/>
              <w:rPr>
                <w:rFonts w:ascii="宋体" w:hAnsi="宋体" w:eastAsia="宋体" w:cs="宋体"/>
                <w:color w:val="000000" w:themeColor="text1"/>
                <w:sz w:val="22"/>
                <w:szCs w:val="22"/>
                <w:lang w:val="en-US" w:eastAsia="en-US" w:bidi="ar-SA"/>
                <w14:textFill>
                  <w14:solidFill>
                    <w14:schemeClr w14:val="tx1"/>
                  </w14:solidFill>
                </w14:textFill>
              </w:rPr>
            </w:pPr>
            <w:r>
              <w:rPr>
                <w:rFonts w:ascii="宋体" w:hAnsi="宋体" w:eastAsia="宋体" w:cs="宋体"/>
                <w:color w:val="000000" w:themeColor="text1"/>
                <w:sz w:val="22"/>
                <w:szCs w:val="22"/>
                <w:lang w:val="en-US" w:eastAsia="en-US" w:bidi="ar-SA"/>
                <w14:textFill>
                  <w14:solidFill>
                    <w14:schemeClr w14:val="tx1"/>
                  </w14:solidFill>
                </w14:textFill>
              </w:rPr>
              <w:t>资 格 要 求</w:t>
            </w:r>
          </w:p>
        </w:tc>
        <w:tc>
          <w:tcPr>
            <w:tcW w:w="1682" w:type="dxa"/>
            <w:tcBorders>
              <w:top w:val="single" w:color="000000" w:sz="4" w:space="0"/>
              <w:left w:val="single" w:color="000000" w:sz="4" w:space="0"/>
              <w:bottom w:val="single" w:color="auto" w:sz="4" w:space="0"/>
              <w:right w:val="single" w:color="000000" w:sz="4" w:space="0"/>
            </w:tcBorders>
          </w:tcPr>
          <w:p>
            <w:pPr>
              <w:pStyle w:val="13"/>
              <w:spacing w:before="148"/>
              <w:ind w:left="20"/>
              <w:jc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在岗要求</w:t>
            </w:r>
          </w:p>
        </w:tc>
      </w:tr>
      <w:tr>
        <w:tblPrEx>
          <w:tblCellMar>
            <w:top w:w="0" w:type="dxa"/>
            <w:left w:w="0" w:type="dxa"/>
            <w:bottom w:w="0" w:type="dxa"/>
            <w:right w:w="0" w:type="dxa"/>
          </w:tblCellMar>
        </w:tblPrEx>
        <w:trPr>
          <w:trHeight w:val="3734" w:hRule="exact"/>
          <w:jc w:val="center"/>
        </w:trPr>
        <w:tc>
          <w:tcPr>
            <w:tcW w:w="1181" w:type="dxa"/>
            <w:tcBorders>
              <w:top w:val="single" w:color="000000" w:sz="4" w:space="0"/>
              <w:left w:val="single" w:color="000000" w:sz="4" w:space="0"/>
              <w:bottom w:val="single" w:color="000000" w:sz="4" w:space="0"/>
              <w:right w:val="single" w:color="auto" w:sz="4" w:space="0"/>
            </w:tcBorders>
          </w:tcPr>
          <w:p>
            <w:pPr>
              <w:pStyle w:val="13"/>
              <w:rPr>
                <w:rFonts w:ascii="宋体" w:hAnsi="宋体" w:eastAsia="宋体" w:cs="宋体"/>
                <w:color w:val="000000" w:themeColor="text1"/>
                <w:sz w:val="22"/>
                <w:szCs w:val="22"/>
                <w14:textFill>
                  <w14:solidFill>
                    <w14:schemeClr w14:val="tx1"/>
                  </w14:solidFill>
                </w14:textFill>
              </w:rPr>
            </w:pPr>
          </w:p>
          <w:p>
            <w:pPr>
              <w:pStyle w:val="13"/>
              <w:rPr>
                <w:rFonts w:ascii="宋体" w:hAnsi="宋体" w:eastAsia="宋体" w:cs="宋体"/>
                <w:color w:val="000000" w:themeColor="text1"/>
                <w:sz w:val="22"/>
                <w:szCs w:val="22"/>
                <w14:textFill>
                  <w14:solidFill>
                    <w14:schemeClr w14:val="tx1"/>
                  </w14:solidFill>
                </w14:textFill>
              </w:rPr>
            </w:pPr>
          </w:p>
          <w:p>
            <w:pPr>
              <w:pStyle w:val="13"/>
              <w:rPr>
                <w:rFonts w:ascii="宋体" w:hAnsi="宋体" w:eastAsia="宋体" w:cs="宋体"/>
                <w:color w:val="000000" w:themeColor="text1"/>
                <w:sz w:val="22"/>
                <w:szCs w:val="22"/>
                <w14:textFill>
                  <w14:solidFill>
                    <w14:schemeClr w14:val="tx1"/>
                  </w14:solidFill>
                </w14:textFill>
              </w:rPr>
            </w:pPr>
          </w:p>
          <w:p>
            <w:pPr>
              <w:pStyle w:val="13"/>
              <w:spacing w:before="12"/>
              <w:rPr>
                <w:rFonts w:ascii="宋体" w:hAnsi="宋体" w:eastAsia="宋体" w:cs="宋体"/>
                <w:color w:val="000000" w:themeColor="text1"/>
                <w:sz w:val="22"/>
                <w:szCs w:val="22"/>
                <w14:textFill>
                  <w14:solidFill>
                    <w14:schemeClr w14:val="tx1"/>
                  </w14:solidFill>
                </w14:textFill>
              </w:rPr>
            </w:pPr>
          </w:p>
          <w:p>
            <w:pPr>
              <w:pStyle w:val="13"/>
              <w:ind w:left="6"/>
              <w:jc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总监理工程师</w:t>
            </w:r>
          </w:p>
        </w:tc>
        <w:tc>
          <w:tcPr>
            <w:tcW w:w="1218" w:type="dxa"/>
            <w:tcBorders>
              <w:top w:val="single" w:color="auto" w:sz="4" w:space="0"/>
              <w:left w:val="single" w:color="auto" w:sz="4" w:space="0"/>
              <w:bottom w:val="single" w:color="auto" w:sz="4" w:space="0"/>
              <w:right w:val="single" w:color="000000" w:sz="4" w:space="0"/>
            </w:tcBorders>
            <w:vAlign w:val="center"/>
          </w:tcPr>
          <w:p>
            <w:pPr>
              <w:jc w:val="center"/>
              <w:rPr>
                <w:rFonts w:hint="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sz w:val="22"/>
                <w:szCs w:val="22"/>
              </w:rPr>
              <w:t>1名</w:t>
            </w:r>
          </w:p>
        </w:tc>
        <w:tc>
          <w:tcPr>
            <w:tcW w:w="4957" w:type="dxa"/>
            <w:tcBorders>
              <w:top w:val="single" w:color="auto" w:sz="4" w:space="0"/>
              <w:left w:val="single" w:color="000000" w:sz="4" w:space="0"/>
              <w:bottom w:val="single" w:color="auto" w:sz="4" w:space="0"/>
              <w:right w:val="single" w:color="000000" w:sz="4" w:space="0"/>
            </w:tcBorders>
            <w:vAlign w:val="center"/>
          </w:tcPr>
          <w:p>
            <w:pPr>
              <w:pStyle w:val="15"/>
              <w:keepNext w:val="0"/>
              <w:keepLines w:val="0"/>
              <w:widowControl w:val="0"/>
              <w:shd w:val="clear" w:color="auto" w:fill="auto"/>
              <w:bidi w:val="0"/>
              <w:spacing w:before="0" w:after="0" w:line="314" w:lineRule="exact"/>
              <w:ind w:right="0"/>
              <w:jc w:val="left"/>
              <w:rPr>
                <w:sz w:val="22"/>
                <w:szCs w:val="22"/>
                <w:u w:val="none"/>
              </w:rPr>
            </w:pPr>
            <w:r>
              <w:rPr>
                <w:sz w:val="22"/>
                <w:szCs w:val="22"/>
                <w:u w:val="none"/>
              </w:rPr>
              <w:t xml:space="preserve">职称：公路工程相关专业，工程师及以上职称； </w:t>
            </w:r>
          </w:p>
          <w:p>
            <w:pPr>
              <w:pStyle w:val="15"/>
              <w:keepNext w:val="0"/>
              <w:keepLines w:val="0"/>
              <w:widowControl w:val="0"/>
              <w:shd w:val="clear" w:color="auto" w:fill="auto"/>
              <w:bidi w:val="0"/>
              <w:spacing w:before="0" w:after="0" w:line="314" w:lineRule="exact"/>
              <w:ind w:right="0"/>
              <w:jc w:val="left"/>
              <w:rPr>
                <w:sz w:val="22"/>
                <w:szCs w:val="22"/>
                <w:u w:val="none"/>
              </w:rPr>
            </w:pPr>
            <w:r>
              <w:rPr>
                <w:sz w:val="22"/>
                <w:szCs w:val="22"/>
                <w:u w:val="none"/>
              </w:rPr>
              <w:t>资格证书：</w:t>
            </w:r>
            <w:r>
              <w:rPr>
                <w:rFonts w:hint="eastAsia"/>
                <w:sz w:val="22"/>
                <w:szCs w:val="22"/>
                <w:u w:val="none"/>
              </w:rPr>
              <w:t>具有交通运输部公路工程监理工程师资格（</w:t>
            </w:r>
            <w:r>
              <w:rPr>
                <w:rFonts w:hint="eastAsia"/>
                <w:sz w:val="22"/>
                <w:szCs w:val="22"/>
                <w:u w:val="none"/>
                <w:lang w:eastAsia="zh-CN"/>
              </w:rPr>
              <w:t>道路与桥梁监理专业</w:t>
            </w:r>
            <w:r>
              <w:rPr>
                <w:rFonts w:hint="eastAsia"/>
                <w:sz w:val="22"/>
                <w:szCs w:val="22"/>
                <w:u w:val="none"/>
              </w:rPr>
              <w:t>），且已在投标人处进行岗位注册</w:t>
            </w:r>
            <w:r>
              <w:rPr>
                <w:sz w:val="22"/>
                <w:szCs w:val="22"/>
                <w:u w:val="none"/>
              </w:rPr>
              <w:t>；</w:t>
            </w:r>
          </w:p>
          <w:p>
            <w:pPr>
              <w:pStyle w:val="15"/>
              <w:keepNext w:val="0"/>
              <w:keepLines w:val="0"/>
              <w:widowControl w:val="0"/>
              <w:shd w:val="clear" w:color="auto" w:fill="auto"/>
              <w:bidi w:val="0"/>
              <w:spacing w:before="0" w:after="0" w:line="314" w:lineRule="exact"/>
              <w:ind w:right="0"/>
              <w:jc w:val="left"/>
              <w:rPr>
                <w:sz w:val="22"/>
                <w:szCs w:val="22"/>
                <w:u w:val="none"/>
              </w:rPr>
            </w:pPr>
            <w:r>
              <w:rPr>
                <w:sz w:val="22"/>
                <w:szCs w:val="22"/>
                <w:u w:val="none"/>
              </w:rPr>
              <w:t>业绩：201</w:t>
            </w:r>
            <w:r>
              <w:rPr>
                <w:rFonts w:hint="eastAsia"/>
                <w:sz w:val="22"/>
                <w:szCs w:val="22"/>
                <w:u w:val="none"/>
                <w:lang w:val="en-US" w:eastAsia="zh-CN"/>
              </w:rPr>
              <w:t>9</w:t>
            </w:r>
            <w:r>
              <w:rPr>
                <w:sz w:val="22"/>
                <w:szCs w:val="22"/>
                <w:u w:val="none"/>
              </w:rPr>
              <w:t>年1月1日至今担任过</w:t>
            </w:r>
            <w:r>
              <w:rPr>
                <w:rFonts w:hint="eastAsia"/>
                <w:sz w:val="22"/>
                <w:szCs w:val="22"/>
                <w:u w:val="none"/>
                <w:lang w:eastAsia="zh-CN"/>
              </w:rPr>
              <w:t>至少</w:t>
            </w:r>
            <w:r>
              <w:rPr>
                <w:sz w:val="22"/>
                <w:szCs w:val="22"/>
                <w:u w:val="none"/>
              </w:rPr>
              <w:t>1个</w:t>
            </w:r>
            <w:r>
              <w:rPr>
                <w:rFonts w:hint="eastAsia"/>
                <w:sz w:val="22"/>
                <w:szCs w:val="22"/>
                <w:u w:val="none"/>
              </w:rPr>
              <w:t>沥青混凝土路面工程</w:t>
            </w:r>
            <w:r>
              <w:rPr>
                <w:rFonts w:hint="eastAsia"/>
                <w:sz w:val="22"/>
                <w:szCs w:val="22"/>
                <w:u w:val="none"/>
                <w:lang w:eastAsia="zh-CN"/>
              </w:rPr>
              <w:t>监理</w:t>
            </w:r>
            <w:r>
              <w:rPr>
                <w:sz w:val="22"/>
                <w:szCs w:val="22"/>
                <w:u w:val="none"/>
              </w:rPr>
              <w:t>业绩，并担任</w:t>
            </w:r>
            <w:r>
              <w:rPr>
                <w:rFonts w:hint="eastAsia"/>
                <w:sz w:val="22"/>
                <w:szCs w:val="22"/>
                <w:u w:val="none"/>
              </w:rPr>
              <w:t>总监理工程师</w:t>
            </w:r>
            <w:r>
              <w:rPr>
                <w:sz w:val="22"/>
                <w:szCs w:val="22"/>
                <w:u w:val="none"/>
              </w:rPr>
              <w:t>，且无在建项目；</w:t>
            </w:r>
            <w:r>
              <w:rPr>
                <w:rFonts w:hint="eastAsia"/>
                <w:sz w:val="22"/>
                <w:szCs w:val="22"/>
                <w:u w:val="none"/>
              </w:rPr>
              <w:t>（应附业绩证明材料：中标通知书和合同协议书或工程接收证书（工程竣工验收报告））</w:t>
            </w:r>
          </w:p>
          <w:p>
            <w:pPr>
              <w:spacing w:line="300" w:lineRule="exact"/>
              <w:rPr>
                <w:sz w:val="22"/>
                <w:szCs w:val="22"/>
              </w:rPr>
            </w:pPr>
            <w:r>
              <w:rPr>
                <w:sz w:val="22"/>
                <w:szCs w:val="22"/>
              </w:rPr>
              <w:t>社保证明：投标人所属社保机构出具的拟委任的的社保证明。</w:t>
            </w:r>
          </w:p>
          <w:p>
            <w:pPr>
              <w:pStyle w:val="6"/>
              <w:ind w:left="0" w:leftChars="0" w:firstLine="0" w:firstLineChars="0"/>
              <w:rPr>
                <w:sz w:val="22"/>
                <w:szCs w:val="22"/>
                <w:lang w:val="en-US" w:eastAsia="en-US"/>
              </w:rPr>
            </w:pPr>
            <w:r>
              <w:rPr>
                <w:rFonts w:hint="eastAsia" w:ascii="Times New Roman" w:hAnsi="Times New Roman" w:eastAsia="宋体" w:cs="Times New Roman"/>
                <w:kern w:val="2"/>
                <w:sz w:val="22"/>
                <w:szCs w:val="22"/>
                <w:lang w:val="en-US" w:eastAsia="zh-CN" w:bidi="ar-SA"/>
              </w:rPr>
              <w:t>无不良记录。</w:t>
            </w:r>
          </w:p>
        </w:tc>
        <w:tc>
          <w:tcPr>
            <w:tcW w:w="1682" w:type="dxa"/>
            <w:tcBorders>
              <w:top w:val="single" w:color="auto" w:sz="4" w:space="0"/>
              <w:left w:val="single" w:color="000000" w:sz="4" w:space="0"/>
              <w:bottom w:val="single" w:color="auto" w:sz="4" w:space="0"/>
              <w:right w:val="single" w:color="auto" w:sz="4" w:space="0"/>
            </w:tcBorders>
          </w:tcPr>
          <w:p>
            <w:pPr>
              <w:pStyle w:val="13"/>
              <w:rPr>
                <w:rFonts w:ascii="宋体" w:hAnsi="宋体" w:eastAsia="宋体" w:cs="宋体"/>
                <w:color w:val="000000" w:themeColor="text1"/>
                <w:sz w:val="22"/>
                <w:szCs w:val="22"/>
                <w:lang w:eastAsia="zh-CN"/>
                <w14:textFill>
                  <w14:solidFill>
                    <w14:schemeClr w14:val="tx1"/>
                  </w14:solidFill>
                </w14:textFill>
              </w:rPr>
            </w:pPr>
          </w:p>
          <w:p>
            <w:pPr>
              <w:pStyle w:val="13"/>
              <w:rPr>
                <w:rFonts w:ascii="宋体" w:hAnsi="宋体" w:eastAsia="宋体" w:cs="宋体"/>
                <w:color w:val="000000" w:themeColor="text1"/>
                <w:sz w:val="22"/>
                <w:szCs w:val="22"/>
                <w:lang w:eastAsia="zh-CN"/>
                <w14:textFill>
                  <w14:solidFill>
                    <w14:schemeClr w14:val="tx1"/>
                  </w14:solidFill>
                </w14:textFill>
              </w:rPr>
            </w:pPr>
          </w:p>
          <w:p>
            <w:pPr>
              <w:pStyle w:val="13"/>
              <w:spacing w:before="171" w:line="312" w:lineRule="auto"/>
              <w:ind w:left="103" w:right="93"/>
              <w:jc w:val="both"/>
              <w:rPr>
                <w:rFonts w:ascii="宋体" w:hAnsi="宋体" w:eastAsia="宋体" w:cs="宋体"/>
                <w:color w:val="000000" w:themeColor="text1"/>
                <w:sz w:val="22"/>
                <w:szCs w:val="22"/>
                <w:lang w:eastAsia="zh-CN"/>
                <w14:textFill>
                  <w14:solidFill>
                    <w14:schemeClr w14:val="tx1"/>
                  </w14:solidFill>
                </w14:textFill>
              </w:rPr>
            </w:pPr>
            <w:r>
              <w:rPr>
                <w:rFonts w:ascii="宋体" w:hAnsi="宋体" w:eastAsia="宋体" w:cs="宋体"/>
                <w:color w:val="000000" w:themeColor="text1"/>
                <w:sz w:val="22"/>
                <w:szCs w:val="22"/>
                <w:lang w:eastAsia="zh-CN"/>
                <w14:textFill>
                  <w14:solidFill>
                    <w14:schemeClr w14:val="tx1"/>
                  </w14:solidFill>
                </w14:textFill>
              </w:rPr>
              <w:t>无在岗项目（ 指目前未在其他项目上任职，或虽在其他项目上任职但本项目中标后能够从该项目撤离）</w:t>
            </w:r>
          </w:p>
        </w:tc>
      </w:tr>
    </w:tbl>
    <w:p>
      <w:pPr>
        <w:jc w:val="center"/>
        <w:rPr>
          <w:rFonts w:hint="eastAsia" w:ascii="楷体" w:hAnsi="楷体" w:eastAsia="楷体"/>
          <w:b/>
          <w:bCs/>
          <w:sz w:val="28"/>
        </w:rPr>
      </w:pPr>
    </w:p>
    <w:p>
      <w:pPr>
        <w:tabs>
          <w:tab w:val="left" w:pos="1530"/>
        </w:tabs>
        <w:spacing w:before="32"/>
        <w:ind w:left="85" w:right="0" w:firstLine="0"/>
        <w:jc w:val="center"/>
        <w:rPr>
          <w:rFonts w:hint="eastAsia" w:ascii="黑体" w:eastAsia="黑体"/>
          <w:b/>
          <w:sz w:val="36"/>
        </w:rPr>
      </w:pPr>
    </w:p>
    <w:p>
      <w:pPr>
        <w:tabs>
          <w:tab w:val="left" w:pos="1530"/>
        </w:tabs>
        <w:spacing w:before="32"/>
        <w:ind w:left="85" w:right="0" w:firstLine="0"/>
        <w:jc w:val="center"/>
        <w:rPr>
          <w:rFonts w:hint="eastAsia" w:ascii="黑体" w:eastAsia="黑体"/>
          <w:b/>
          <w:sz w:val="36"/>
        </w:rPr>
      </w:pPr>
    </w:p>
    <w:p>
      <w:pPr>
        <w:tabs>
          <w:tab w:val="left" w:pos="1530"/>
        </w:tabs>
        <w:spacing w:before="32"/>
        <w:ind w:left="85" w:right="0" w:firstLine="0"/>
        <w:jc w:val="center"/>
        <w:rPr>
          <w:rFonts w:hint="eastAsia" w:ascii="黑体" w:eastAsia="黑体"/>
          <w:b/>
          <w:sz w:val="36"/>
        </w:rPr>
      </w:pPr>
    </w:p>
    <w:p>
      <w:pPr>
        <w:pStyle w:val="2"/>
        <w:rPr>
          <w:rFonts w:hint="eastAsia" w:ascii="黑体" w:eastAsia="黑体"/>
          <w:b/>
          <w:sz w:val="36"/>
        </w:rPr>
      </w:pPr>
    </w:p>
    <w:p>
      <w:pPr>
        <w:pStyle w:val="2"/>
        <w:rPr>
          <w:rFonts w:hint="eastAsia" w:ascii="黑体" w:eastAsia="黑体"/>
          <w:b/>
          <w:sz w:val="36"/>
        </w:rPr>
      </w:pPr>
    </w:p>
    <w:p>
      <w:pPr>
        <w:pStyle w:val="2"/>
        <w:rPr>
          <w:rFonts w:hint="eastAsia" w:ascii="黑体" w:eastAsia="黑体"/>
          <w:b/>
          <w:sz w:val="36"/>
        </w:rPr>
      </w:pPr>
    </w:p>
    <w:p>
      <w:pPr>
        <w:pStyle w:val="2"/>
        <w:rPr>
          <w:rFonts w:hint="eastAsia" w:ascii="黑体" w:eastAsia="黑体"/>
          <w:b/>
          <w:sz w:val="36"/>
        </w:rPr>
      </w:pPr>
    </w:p>
    <w:p>
      <w:pPr>
        <w:pStyle w:val="2"/>
        <w:rPr>
          <w:rFonts w:hint="eastAsia" w:ascii="黑体" w:eastAsia="黑体"/>
          <w:b/>
          <w:sz w:val="36"/>
        </w:rPr>
      </w:pPr>
    </w:p>
    <w:p>
      <w:pPr>
        <w:pStyle w:val="2"/>
        <w:rPr>
          <w:rFonts w:hint="eastAsia" w:ascii="黑体" w:eastAsia="黑体"/>
          <w:b/>
          <w:sz w:val="36"/>
        </w:rPr>
      </w:pPr>
    </w:p>
    <w:p>
      <w:pPr>
        <w:pStyle w:val="2"/>
        <w:rPr>
          <w:rFonts w:hint="eastAsia" w:ascii="黑体" w:eastAsia="黑体"/>
          <w:b/>
          <w:sz w:val="36"/>
        </w:rPr>
      </w:pPr>
    </w:p>
    <w:p>
      <w:pPr>
        <w:pStyle w:val="2"/>
        <w:rPr>
          <w:rFonts w:hint="eastAsia" w:ascii="黑体" w:eastAsia="黑体"/>
          <w:b/>
          <w:sz w:val="36"/>
        </w:rPr>
      </w:pPr>
    </w:p>
    <w:p>
      <w:pPr>
        <w:pStyle w:val="2"/>
        <w:rPr>
          <w:rFonts w:hint="eastAsia" w:ascii="黑体" w:eastAsia="黑体"/>
          <w:b/>
          <w:sz w:val="36"/>
        </w:rPr>
      </w:pPr>
    </w:p>
    <w:p>
      <w:pPr>
        <w:pStyle w:val="2"/>
        <w:rPr>
          <w:rFonts w:hint="eastAsia" w:ascii="黑体" w:eastAsia="黑体"/>
          <w:b/>
          <w:sz w:val="36"/>
        </w:rPr>
      </w:pPr>
    </w:p>
    <w:p>
      <w:pPr>
        <w:pStyle w:val="2"/>
        <w:rPr>
          <w:rFonts w:hint="eastAsia" w:ascii="黑体" w:eastAsia="黑体"/>
          <w:b/>
          <w:sz w:val="36"/>
        </w:rPr>
      </w:pPr>
    </w:p>
    <w:p>
      <w:pPr>
        <w:pStyle w:val="2"/>
        <w:rPr>
          <w:rFonts w:hint="eastAsia" w:ascii="黑体" w:eastAsia="黑体"/>
          <w:b/>
          <w:sz w:val="36"/>
        </w:rPr>
      </w:pPr>
    </w:p>
    <w:p>
      <w:pPr>
        <w:pStyle w:val="2"/>
        <w:rPr>
          <w:rFonts w:hint="eastAsia" w:ascii="黑体" w:eastAsia="黑体"/>
          <w:b/>
          <w:sz w:val="36"/>
        </w:rPr>
      </w:pPr>
    </w:p>
    <w:p>
      <w:pPr>
        <w:pStyle w:val="2"/>
        <w:rPr>
          <w:rFonts w:hint="eastAsia" w:ascii="黑体" w:eastAsia="黑体"/>
          <w:b/>
          <w:sz w:val="36"/>
        </w:rPr>
      </w:pPr>
    </w:p>
    <w:p>
      <w:pPr>
        <w:pStyle w:val="2"/>
        <w:rPr>
          <w:rFonts w:hint="eastAsia" w:ascii="黑体" w:eastAsia="黑体"/>
          <w:b/>
          <w:sz w:val="36"/>
        </w:rPr>
      </w:pPr>
    </w:p>
    <w:p>
      <w:pPr>
        <w:tabs>
          <w:tab w:val="left" w:pos="1530"/>
        </w:tabs>
        <w:spacing w:before="32"/>
        <w:ind w:left="85" w:right="0" w:firstLine="0"/>
        <w:jc w:val="center"/>
        <w:rPr>
          <w:rFonts w:hint="eastAsia" w:ascii="黑体" w:eastAsia="黑体"/>
          <w:b/>
          <w:sz w:val="36"/>
        </w:rPr>
      </w:pPr>
    </w:p>
    <w:p>
      <w:pPr>
        <w:tabs>
          <w:tab w:val="left" w:pos="1530"/>
        </w:tabs>
        <w:spacing w:before="32"/>
        <w:ind w:left="85" w:right="0" w:firstLine="0"/>
        <w:jc w:val="center"/>
        <w:rPr>
          <w:rFonts w:hint="eastAsia" w:ascii="黑体" w:eastAsia="黑体"/>
          <w:b/>
          <w:sz w:val="36"/>
        </w:rPr>
      </w:pPr>
    </w:p>
    <w:p>
      <w:pPr>
        <w:tabs>
          <w:tab w:val="left" w:pos="1530"/>
        </w:tabs>
        <w:spacing w:before="32"/>
        <w:ind w:left="85" w:right="0" w:firstLine="0"/>
        <w:jc w:val="center"/>
        <w:rPr>
          <w:rFonts w:hint="eastAsia" w:ascii="黑体" w:eastAsia="黑体"/>
          <w:b/>
          <w:sz w:val="36"/>
        </w:rPr>
      </w:pPr>
    </w:p>
    <w:p>
      <w:pPr>
        <w:tabs>
          <w:tab w:val="left" w:pos="1530"/>
        </w:tabs>
        <w:spacing w:before="32"/>
        <w:ind w:left="85" w:right="0" w:firstLine="0"/>
        <w:jc w:val="center"/>
        <w:rPr>
          <w:rFonts w:hint="eastAsia" w:ascii="黑体" w:eastAsia="黑体"/>
          <w:b/>
          <w:sz w:val="36"/>
        </w:rPr>
      </w:pPr>
    </w:p>
    <w:p>
      <w:pPr>
        <w:tabs>
          <w:tab w:val="left" w:pos="1530"/>
        </w:tabs>
        <w:spacing w:before="32"/>
        <w:ind w:left="85" w:right="0" w:firstLine="0"/>
        <w:jc w:val="center"/>
        <w:rPr>
          <w:rFonts w:hint="eastAsia" w:ascii="黑体" w:eastAsia="黑体"/>
          <w:b/>
          <w:sz w:val="36"/>
        </w:rPr>
      </w:pPr>
    </w:p>
    <w:p>
      <w:pPr>
        <w:tabs>
          <w:tab w:val="left" w:pos="1530"/>
        </w:tabs>
        <w:spacing w:before="32"/>
        <w:ind w:left="85" w:right="0" w:firstLine="0"/>
        <w:jc w:val="center"/>
        <w:rPr>
          <w:rFonts w:hint="eastAsia" w:ascii="黑体" w:eastAsia="黑体"/>
          <w:b/>
          <w:sz w:val="36"/>
        </w:rPr>
      </w:pPr>
    </w:p>
    <w:p>
      <w:pPr>
        <w:tabs>
          <w:tab w:val="left" w:pos="1530"/>
        </w:tabs>
        <w:spacing w:before="32"/>
        <w:ind w:left="85" w:right="0" w:firstLine="0"/>
        <w:jc w:val="center"/>
        <w:rPr>
          <w:rFonts w:hint="eastAsia" w:ascii="黑体" w:eastAsia="黑体"/>
          <w:b/>
          <w:sz w:val="36"/>
        </w:rPr>
      </w:pPr>
    </w:p>
    <w:p>
      <w:pPr>
        <w:tabs>
          <w:tab w:val="left" w:pos="1530"/>
        </w:tabs>
        <w:spacing w:before="32"/>
        <w:ind w:left="85" w:right="0" w:firstLine="0"/>
        <w:jc w:val="center"/>
        <w:rPr>
          <w:rFonts w:hint="eastAsia" w:ascii="黑体" w:eastAsia="黑体"/>
          <w:b/>
          <w:sz w:val="36"/>
        </w:rPr>
      </w:pPr>
    </w:p>
    <w:p>
      <w:pPr>
        <w:tabs>
          <w:tab w:val="left" w:pos="1530"/>
        </w:tabs>
        <w:spacing w:before="32"/>
        <w:ind w:left="85" w:right="0" w:firstLine="0"/>
        <w:jc w:val="center"/>
        <w:rPr>
          <w:rFonts w:hint="eastAsia" w:ascii="黑体" w:eastAsia="黑体"/>
          <w:b/>
          <w:sz w:val="36"/>
        </w:rPr>
      </w:pPr>
      <w:r>
        <w:rPr>
          <w:rFonts w:hint="eastAsia" w:ascii="黑体" w:eastAsia="黑体"/>
          <w:b/>
          <w:sz w:val="36"/>
        </w:rPr>
        <w:t>评标办法 (综合评估法)</w:t>
      </w:r>
    </w:p>
    <w:p>
      <w:pPr>
        <w:spacing w:before="237" w:after="4"/>
        <w:ind w:left="105" w:right="0" w:firstLine="0"/>
        <w:jc w:val="center"/>
        <w:rPr>
          <w:b/>
          <w:sz w:val="24"/>
        </w:rPr>
      </w:pPr>
      <w:bookmarkStart w:id="0" w:name="评标办法前附表"/>
      <w:bookmarkEnd w:id="0"/>
    </w:p>
    <w:p>
      <w:pPr>
        <w:spacing w:before="237" w:after="4"/>
        <w:ind w:left="105" w:right="0" w:firstLine="0"/>
        <w:jc w:val="center"/>
        <w:rPr>
          <w:b/>
          <w:sz w:val="24"/>
        </w:rPr>
      </w:pPr>
    </w:p>
    <w:p>
      <w:pPr>
        <w:spacing w:before="237" w:after="4"/>
        <w:ind w:left="105" w:right="0" w:firstLine="0"/>
        <w:jc w:val="center"/>
        <w:rPr>
          <w:b/>
          <w:sz w:val="24"/>
        </w:rPr>
      </w:pPr>
    </w:p>
    <w:p>
      <w:pPr>
        <w:spacing w:before="237" w:after="4"/>
        <w:ind w:left="105" w:right="0" w:firstLine="0"/>
        <w:jc w:val="center"/>
        <w:rPr>
          <w:rFonts w:hint="default" w:eastAsiaTheme="minorEastAsia"/>
          <w:b/>
          <w:sz w:val="24"/>
          <w:lang w:val="en-US" w:eastAsia="zh-CN"/>
        </w:rPr>
      </w:pPr>
    </w:p>
    <w:p>
      <w:pPr>
        <w:pStyle w:val="2"/>
        <w:rPr>
          <w:rFonts w:hint="default" w:eastAsiaTheme="minorEastAsia"/>
          <w:b/>
          <w:sz w:val="24"/>
          <w:lang w:val="en-US" w:eastAsia="zh-CN"/>
        </w:rPr>
      </w:pPr>
    </w:p>
    <w:p>
      <w:pPr>
        <w:pStyle w:val="2"/>
        <w:rPr>
          <w:rFonts w:hint="default" w:eastAsiaTheme="minorEastAsia"/>
          <w:b/>
          <w:sz w:val="24"/>
          <w:lang w:val="en-US" w:eastAsia="zh-CN"/>
        </w:rPr>
      </w:pPr>
    </w:p>
    <w:p>
      <w:pPr>
        <w:pStyle w:val="2"/>
        <w:rPr>
          <w:rFonts w:hint="default" w:eastAsiaTheme="minorEastAsia"/>
          <w:b/>
          <w:sz w:val="24"/>
          <w:lang w:val="en-US" w:eastAsia="zh-CN"/>
        </w:rPr>
      </w:pPr>
    </w:p>
    <w:p>
      <w:pPr>
        <w:pStyle w:val="2"/>
        <w:rPr>
          <w:rFonts w:hint="default" w:eastAsiaTheme="minorEastAsia"/>
          <w:b/>
          <w:sz w:val="24"/>
          <w:lang w:val="en-US" w:eastAsia="zh-CN"/>
        </w:rPr>
      </w:pPr>
    </w:p>
    <w:p>
      <w:pPr>
        <w:pStyle w:val="2"/>
        <w:rPr>
          <w:rFonts w:hint="default" w:eastAsiaTheme="minorEastAsia"/>
          <w:b/>
          <w:sz w:val="24"/>
          <w:lang w:val="en-US" w:eastAsia="zh-CN"/>
        </w:rPr>
      </w:pPr>
    </w:p>
    <w:p>
      <w:pPr>
        <w:pStyle w:val="2"/>
        <w:rPr>
          <w:rFonts w:hint="default" w:eastAsiaTheme="minorEastAsia"/>
          <w:b/>
          <w:sz w:val="24"/>
          <w:lang w:val="en-US" w:eastAsia="zh-CN"/>
        </w:rPr>
      </w:pPr>
    </w:p>
    <w:p>
      <w:pPr>
        <w:pStyle w:val="2"/>
        <w:rPr>
          <w:rFonts w:hint="default" w:eastAsiaTheme="minorEastAsia"/>
          <w:b/>
          <w:sz w:val="24"/>
          <w:lang w:val="en-US" w:eastAsia="zh-CN"/>
        </w:rPr>
      </w:pPr>
    </w:p>
    <w:p>
      <w:pPr>
        <w:pStyle w:val="2"/>
        <w:rPr>
          <w:rFonts w:hint="default" w:eastAsiaTheme="minorEastAsia"/>
          <w:b/>
          <w:sz w:val="24"/>
          <w:lang w:val="en-US" w:eastAsia="zh-CN"/>
        </w:rPr>
      </w:pPr>
    </w:p>
    <w:p>
      <w:pPr>
        <w:pStyle w:val="2"/>
        <w:rPr>
          <w:rFonts w:hint="default" w:eastAsiaTheme="minorEastAsia"/>
          <w:b/>
          <w:sz w:val="24"/>
          <w:lang w:val="en-US" w:eastAsia="zh-CN"/>
        </w:rPr>
      </w:pPr>
    </w:p>
    <w:p>
      <w:pPr>
        <w:pStyle w:val="2"/>
        <w:rPr>
          <w:rFonts w:hint="default" w:eastAsiaTheme="minorEastAsia"/>
          <w:b/>
          <w:sz w:val="24"/>
          <w:lang w:val="en-US" w:eastAsia="zh-CN"/>
        </w:rPr>
      </w:pPr>
    </w:p>
    <w:p>
      <w:pPr>
        <w:pStyle w:val="2"/>
        <w:rPr>
          <w:rFonts w:hint="default" w:eastAsiaTheme="minorEastAsia"/>
          <w:b/>
          <w:sz w:val="24"/>
          <w:lang w:val="en-US" w:eastAsia="zh-CN"/>
        </w:rPr>
      </w:pPr>
    </w:p>
    <w:p>
      <w:pPr>
        <w:pStyle w:val="2"/>
        <w:rPr>
          <w:rFonts w:hint="default" w:eastAsiaTheme="minorEastAsia"/>
          <w:b/>
          <w:sz w:val="24"/>
          <w:lang w:val="en-US" w:eastAsia="zh-CN"/>
        </w:rPr>
      </w:pPr>
    </w:p>
    <w:p>
      <w:pPr>
        <w:pStyle w:val="2"/>
        <w:rPr>
          <w:rFonts w:hint="default" w:eastAsiaTheme="minorEastAsia"/>
          <w:b/>
          <w:sz w:val="24"/>
          <w:lang w:val="en-US" w:eastAsia="zh-CN"/>
        </w:rPr>
      </w:pPr>
    </w:p>
    <w:p>
      <w:pPr>
        <w:pStyle w:val="2"/>
        <w:rPr>
          <w:rFonts w:hint="default" w:eastAsiaTheme="minorEastAsia"/>
          <w:b/>
          <w:sz w:val="24"/>
          <w:lang w:val="en-US" w:eastAsia="zh-CN"/>
        </w:rPr>
      </w:pPr>
    </w:p>
    <w:p>
      <w:pPr>
        <w:pStyle w:val="2"/>
        <w:rPr>
          <w:rFonts w:hint="default" w:eastAsiaTheme="minorEastAsia"/>
          <w:b/>
          <w:sz w:val="24"/>
          <w:lang w:val="en-US" w:eastAsia="zh-CN"/>
        </w:rPr>
      </w:pPr>
    </w:p>
    <w:p>
      <w:pPr>
        <w:pStyle w:val="2"/>
        <w:rPr>
          <w:rFonts w:hint="default" w:eastAsiaTheme="minorEastAsia"/>
          <w:b/>
          <w:sz w:val="24"/>
          <w:lang w:val="en-US" w:eastAsia="zh-CN"/>
        </w:rPr>
      </w:pPr>
    </w:p>
    <w:p>
      <w:pPr>
        <w:pStyle w:val="2"/>
        <w:rPr>
          <w:rFonts w:hint="default" w:eastAsiaTheme="minorEastAsia"/>
          <w:b/>
          <w:sz w:val="24"/>
          <w:lang w:val="en-US" w:eastAsia="zh-CN"/>
        </w:rPr>
      </w:pPr>
    </w:p>
    <w:p>
      <w:pPr>
        <w:pStyle w:val="2"/>
        <w:rPr>
          <w:rFonts w:hint="default" w:eastAsiaTheme="minorEastAsia"/>
          <w:b/>
          <w:sz w:val="24"/>
          <w:lang w:val="en-US" w:eastAsia="zh-CN"/>
        </w:rPr>
      </w:pPr>
    </w:p>
    <w:p>
      <w:pPr>
        <w:pStyle w:val="2"/>
        <w:rPr>
          <w:rFonts w:hint="default" w:eastAsiaTheme="minorEastAsia"/>
          <w:b/>
          <w:sz w:val="24"/>
          <w:lang w:val="en-US" w:eastAsia="zh-CN"/>
        </w:rPr>
      </w:pPr>
    </w:p>
    <w:p>
      <w:pPr>
        <w:pStyle w:val="2"/>
        <w:rPr>
          <w:rFonts w:hint="default" w:eastAsiaTheme="minorEastAsia"/>
          <w:b/>
          <w:sz w:val="24"/>
          <w:lang w:val="en-US" w:eastAsia="zh-CN"/>
        </w:rPr>
      </w:pPr>
    </w:p>
    <w:p>
      <w:pPr>
        <w:pStyle w:val="2"/>
        <w:rPr>
          <w:rFonts w:hint="default" w:eastAsiaTheme="minorEastAsia"/>
          <w:b/>
          <w:sz w:val="24"/>
          <w:lang w:val="en-US" w:eastAsia="zh-CN"/>
        </w:rPr>
      </w:pPr>
    </w:p>
    <w:p>
      <w:pPr>
        <w:pStyle w:val="2"/>
        <w:rPr>
          <w:rFonts w:hint="default" w:eastAsiaTheme="minorEastAsia"/>
          <w:b/>
          <w:sz w:val="24"/>
          <w:lang w:val="en-US" w:eastAsia="zh-CN"/>
        </w:rPr>
      </w:pPr>
    </w:p>
    <w:p>
      <w:pPr>
        <w:pStyle w:val="2"/>
        <w:rPr>
          <w:rFonts w:hint="default" w:eastAsiaTheme="minorEastAsia"/>
          <w:b/>
          <w:sz w:val="24"/>
          <w:lang w:val="en-US" w:eastAsia="zh-CN"/>
        </w:rPr>
      </w:pPr>
    </w:p>
    <w:p>
      <w:pPr>
        <w:pStyle w:val="2"/>
        <w:rPr>
          <w:rFonts w:hint="default" w:eastAsiaTheme="minorEastAsia"/>
          <w:b/>
          <w:sz w:val="24"/>
          <w:lang w:val="en-US" w:eastAsia="zh-CN"/>
        </w:rPr>
      </w:pPr>
    </w:p>
    <w:p>
      <w:pPr>
        <w:pStyle w:val="2"/>
        <w:rPr>
          <w:rFonts w:hint="default" w:eastAsiaTheme="minorEastAsia"/>
          <w:b/>
          <w:sz w:val="24"/>
          <w:lang w:val="en-US" w:eastAsia="zh-CN"/>
        </w:rPr>
      </w:pPr>
    </w:p>
    <w:p>
      <w:pPr>
        <w:pStyle w:val="2"/>
        <w:rPr>
          <w:rFonts w:hint="default" w:eastAsiaTheme="minorEastAsia"/>
          <w:b/>
          <w:sz w:val="24"/>
          <w:lang w:val="en-US" w:eastAsia="zh-CN"/>
        </w:rPr>
      </w:pPr>
    </w:p>
    <w:p>
      <w:pPr>
        <w:pStyle w:val="2"/>
        <w:rPr>
          <w:rFonts w:hint="default" w:eastAsiaTheme="minorEastAsia"/>
          <w:b/>
          <w:sz w:val="24"/>
          <w:lang w:val="en-US" w:eastAsia="zh-CN"/>
        </w:rPr>
      </w:pPr>
    </w:p>
    <w:p>
      <w:pPr>
        <w:pStyle w:val="2"/>
        <w:rPr>
          <w:rFonts w:hint="default" w:eastAsiaTheme="minorEastAsia"/>
          <w:b/>
          <w:sz w:val="24"/>
          <w:lang w:val="en-US" w:eastAsia="zh-CN"/>
        </w:rPr>
      </w:pPr>
    </w:p>
    <w:p>
      <w:pPr>
        <w:spacing w:before="237" w:after="4"/>
        <w:ind w:left="105" w:right="0" w:firstLine="0"/>
        <w:jc w:val="center"/>
        <w:rPr>
          <w:b/>
          <w:sz w:val="24"/>
        </w:rPr>
      </w:pPr>
      <w:r>
        <w:rPr>
          <w:b/>
          <w:sz w:val="24"/>
        </w:rPr>
        <w:t>评标办法前附表</w:t>
      </w:r>
    </w:p>
    <w:p>
      <w:pPr>
        <w:pStyle w:val="2"/>
        <w:ind w:left="0" w:leftChars="0" w:firstLine="0" w:firstLineChars="0"/>
        <w:rPr>
          <w:b/>
          <w:sz w:val="24"/>
        </w:rPr>
      </w:pPr>
    </w:p>
    <w:tbl>
      <w:tblPr>
        <w:tblStyle w:val="9"/>
        <w:tblW w:w="9611" w:type="dxa"/>
        <w:tblInd w:w="-2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2"/>
        <w:gridCol w:w="1088"/>
        <w:gridCol w:w="7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950" w:type="dxa"/>
            <w:gridSpan w:val="2"/>
            <w:vAlign w:val="center"/>
          </w:tcPr>
          <w:p>
            <w:pPr>
              <w:pStyle w:val="13"/>
              <w:spacing w:before="1" w:line="290" w:lineRule="exact"/>
              <w:ind w:left="224" w:leftChars="0" w:hanging="4" w:firstLineChars="0"/>
              <w:jc w:val="center"/>
              <w:rPr>
                <w:b/>
                <w:sz w:val="24"/>
              </w:rPr>
            </w:pPr>
            <w:r>
              <w:rPr>
                <w:b/>
                <w:sz w:val="24"/>
              </w:rPr>
              <w:t>条款号</w:t>
            </w:r>
          </w:p>
        </w:tc>
        <w:tc>
          <w:tcPr>
            <w:tcW w:w="7661" w:type="dxa"/>
            <w:vAlign w:val="center"/>
          </w:tcPr>
          <w:p>
            <w:pPr>
              <w:pStyle w:val="13"/>
              <w:spacing w:before="1" w:line="290" w:lineRule="exact"/>
              <w:ind w:left="2441" w:right="2426"/>
              <w:jc w:val="center"/>
              <w:rPr>
                <w:b/>
                <w:sz w:val="24"/>
              </w:rPr>
            </w:pPr>
            <w:r>
              <w:rPr>
                <w:b/>
                <w:sz w:val="24"/>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2" w:hRule="atLeast"/>
        </w:trPr>
        <w:tc>
          <w:tcPr>
            <w:tcW w:w="862" w:type="dxa"/>
          </w:tcPr>
          <w:p>
            <w:pPr>
              <w:pStyle w:val="13"/>
              <w:rPr>
                <w:b/>
                <w:sz w:val="20"/>
              </w:rPr>
            </w:pPr>
          </w:p>
          <w:p>
            <w:pPr>
              <w:pStyle w:val="13"/>
              <w:rPr>
                <w:b/>
                <w:sz w:val="20"/>
              </w:rPr>
            </w:pPr>
          </w:p>
          <w:p>
            <w:pPr>
              <w:pStyle w:val="13"/>
              <w:spacing w:before="11"/>
              <w:rPr>
                <w:b/>
                <w:sz w:val="17"/>
              </w:rPr>
            </w:pPr>
          </w:p>
          <w:p>
            <w:pPr>
              <w:pStyle w:val="13"/>
              <w:ind w:left="9"/>
              <w:jc w:val="center"/>
              <w:rPr>
                <w:sz w:val="21"/>
              </w:rPr>
            </w:pPr>
            <w:r>
              <w:rPr>
                <w:w w:val="99"/>
                <w:sz w:val="21"/>
              </w:rPr>
              <w:t>1</w:t>
            </w:r>
          </w:p>
        </w:tc>
        <w:tc>
          <w:tcPr>
            <w:tcW w:w="1088" w:type="dxa"/>
          </w:tcPr>
          <w:p>
            <w:pPr>
              <w:pStyle w:val="13"/>
              <w:rPr>
                <w:b/>
                <w:sz w:val="20"/>
              </w:rPr>
            </w:pPr>
          </w:p>
          <w:p>
            <w:pPr>
              <w:pStyle w:val="13"/>
              <w:rPr>
                <w:b/>
                <w:sz w:val="20"/>
              </w:rPr>
            </w:pPr>
          </w:p>
          <w:p>
            <w:pPr>
              <w:pStyle w:val="13"/>
              <w:spacing w:before="11"/>
              <w:rPr>
                <w:b/>
                <w:sz w:val="17"/>
              </w:rPr>
            </w:pPr>
          </w:p>
          <w:p>
            <w:pPr>
              <w:pStyle w:val="13"/>
              <w:ind w:left="217"/>
              <w:rPr>
                <w:sz w:val="21"/>
              </w:rPr>
            </w:pPr>
            <w:r>
              <w:rPr>
                <w:sz w:val="21"/>
              </w:rPr>
              <w:t>评标方法</w:t>
            </w:r>
          </w:p>
        </w:tc>
        <w:tc>
          <w:tcPr>
            <w:tcW w:w="7661" w:type="dxa"/>
          </w:tcPr>
          <w:p>
            <w:pPr>
              <w:pStyle w:val="13"/>
              <w:spacing w:before="60" w:line="304" w:lineRule="auto"/>
              <w:ind w:left="108" w:right="37"/>
              <w:rPr>
                <w:sz w:val="21"/>
              </w:rPr>
            </w:pPr>
            <w:r>
              <w:rPr>
                <w:sz w:val="21"/>
              </w:rPr>
              <w:t>综合评分相等时，评标委员会依次按照以下优先顺序推荐中标候选人或确定中标人：</w:t>
            </w:r>
          </w:p>
          <w:p>
            <w:pPr>
              <w:pStyle w:val="13"/>
              <w:numPr>
                <w:ilvl w:val="0"/>
                <w:numId w:val="1"/>
              </w:numPr>
              <w:tabs>
                <w:tab w:val="left" w:pos="633"/>
              </w:tabs>
              <w:spacing w:before="0" w:after="0" w:line="267" w:lineRule="exact"/>
              <w:ind w:left="632" w:right="0" w:hanging="525"/>
              <w:jc w:val="left"/>
              <w:rPr>
                <w:sz w:val="21"/>
              </w:rPr>
            </w:pPr>
            <w:r>
              <w:rPr>
                <w:sz w:val="21"/>
              </w:rPr>
              <w:t>评标价低的投标人优先；</w:t>
            </w:r>
          </w:p>
          <w:p>
            <w:pPr>
              <w:pStyle w:val="13"/>
              <w:numPr>
                <w:ilvl w:val="0"/>
                <w:numId w:val="1"/>
              </w:numPr>
              <w:tabs>
                <w:tab w:val="left" w:pos="633"/>
              </w:tabs>
              <w:spacing w:before="69" w:after="0" w:line="240" w:lineRule="auto"/>
              <w:ind w:left="632" w:right="0" w:hanging="525"/>
              <w:jc w:val="left"/>
              <w:rPr>
                <w:sz w:val="21"/>
              </w:rPr>
            </w:pPr>
            <w:r>
              <w:rPr>
                <w:sz w:val="21"/>
              </w:rPr>
              <w:t>被</w:t>
            </w:r>
            <w:r>
              <w:rPr>
                <w:sz w:val="21"/>
                <w:u w:val="single"/>
              </w:rPr>
              <w:t>国家或省</w:t>
            </w:r>
            <w:r>
              <w:rPr>
                <w:sz w:val="21"/>
              </w:rPr>
              <w:t>交通运输主管部门评为较高信用等级的投标人优先；</w:t>
            </w:r>
          </w:p>
          <w:p>
            <w:pPr>
              <w:pStyle w:val="13"/>
              <w:numPr>
                <w:ilvl w:val="0"/>
                <w:numId w:val="1"/>
              </w:numPr>
              <w:tabs>
                <w:tab w:val="left" w:pos="633"/>
              </w:tabs>
              <w:spacing w:before="72" w:after="0" w:line="259" w:lineRule="exact"/>
              <w:ind w:left="632" w:right="0" w:hanging="525"/>
              <w:jc w:val="left"/>
              <w:rPr>
                <w:sz w:val="21"/>
              </w:rPr>
            </w:pPr>
            <w:r>
              <w:rPr>
                <w:sz w:val="21"/>
              </w:rPr>
              <w:t>商务和技术得分较高的投标人优先。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8" w:hRule="atLeast"/>
        </w:trPr>
        <w:tc>
          <w:tcPr>
            <w:tcW w:w="862" w:type="dxa"/>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7"/>
              <w:rPr>
                <w:b/>
                <w:sz w:val="14"/>
              </w:rPr>
            </w:pPr>
          </w:p>
          <w:p>
            <w:pPr>
              <w:pStyle w:val="13"/>
              <w:ind w:left="144"/>
              <w:rPr>
                <w:sz w:val="21"/>
              </w:rPr>
            </w:pPr>
            <w:r>
              <w:rPr>
                <w:sz w:val="21"/>
              </w:rPr>
              <w:t>2.1.1</w:t>
            </w:r>
          </w:p>
          <w:p>
            <w:pPr>
              <w:pStyle w:val="13"/>
              <w:spacing w:before="72"/>
              <w:ind w:left="144"/>
              <w:rPr>
                <w:sz w:val="21"/>
              </w:rPr>
            </w:pPr>
            <w:r>
              <w:rPr>
                <w:sz w:val="21"/>
              </w:rPr>
              <w:t>2.1.3</w:t>
            </w:r>
          </w:p>
        </w:tc>
        <w:tc>
          <w:tcPr>
            <w:tcW w:w="1088" w:type="dxa"/>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3"/>
              <w:rPr>
                <w:b/>
                <w:sz w:val="21"/>
              </w:rPr>
            </w:pPr>
          </w:p>
          <w:p>
            <w:pPr>
              <w:pStyle w:val="13"/>
              <w:spacing w:before="1" w:line="304" w:lineRule="auto"/>
              <w:ind w:left="220" w:right="208"/>
              <w:jc w:val="both"/>
              <w:rPr>
                <w:sz w:val="21"/>
              </w:rPr>
            </w:pPr>
            <w:r>
              <w:rPr>
                <w:spacing w:val="-4"/>
                <w:sz w:val="21"/>
              </w:rPr>
              <w:t>形式评审与响应性评审标准</w:t>
            </w:r>
          </w:p>
        </w:tc>
        <w:tc>
          <w:tcPr>
            <w:tcW w:w="7661" w:type="dxa"/>
          </w:tcPr>
          <w:p>
            <w:pPr>
              <w:pStyle w:val="13"/>
              <w:spacing w:before="109"/>
              <w:ind w:left="633"/>
              <w:rPr>
                <w:b/>
                <w:sz w:val="21"/>
              </w:rPr>
            </w:pPr>
            <w:r>
              <w:rPr>
                <w:b/>
                <w:sz w:val="21"/>
              </w:rPr>
              <w:t>第一个信封（商务及技术文件）评审标准：</w:t>
            </w:r>
          </w:p>
          <w:p>
            <w:pPr>
              <w:pStyle w:val="13"/>
              <w:numPr>
                <w:ilvl w:val="0"/>
                <w:numId w:val="2"/>
              </w:numPr>
              <w:tabs>
                <w:tab w:val="left" w:pos="633"/>
              </w:tabs>
              <w:spacing w:before="149" w:after="0" w:line="240" w:lineRule="auto"/>
              <w:ind w:left="632" w:right="0" w:hanging="525"/>
              <w:jc w:val="left"/>
              <w:rPr>
                <w:rFonts w:hint="eastAsia" w:ascii="宋体" w:hAnsi="宋体" w:eastAsia="宋体" w:cs="宋体"/>
                <w:sz w:val="21"/>
                <w:szCs w:val="21"/>
              </w:rPr>
            </w:pPr>
            <w:r>
              <w:rPr>
                <w:rFonts w:hint="eastAsia" w:ascii="宋体" w:hAnsi="宋体" w:eastAsia="宋体" w:cs="宋体"/>
                <w:sz w:val="21"/>
                <w:szCs w:val="21"/>
              </w:rPr>
              <w:t>投标文件按照招标文件规定的格式、内容填写，字迹清晰可辨：</w:t>
            </w:r>
          </w:p>
          <w:p>
            <w:pPr>
              <w:pStyle w:val="13"/>
              <w:numPr>
                <w:ilvl w:val="1"/>
                <w:numId w:val="2"/>
              </w:numPr>
              <w:tabs>
                <w:tab w:val="left" w:pos="841"/>
              </w:tabs>
              <w:spacing w:before="151" w:after="0" w:line="357" w:lineRule="auto"/>
              <w:ind w:left="209" w:right="145" w:firstLine="420"/>
              <w:jc w:val="left"/>
              <w:rPr>
                <w:rFonts w:hint="eastAsia" w:ascii="宋体" w:hAnsi="宋体" w:eastAsia="宋体" w:cs="宋体"/>
                <w:sz w:val="21"/>
                <w:szCs w:val="21"/>
              </w:rPr>
            </w:pPr>
            <w:r>
              <w:rPr>
                <w:rFonts w:hint="eastAsia" w:ascii="宋体" w:hAnsi="宋体" w:eastAsia="宋体" w:cs="宋体"/>
                <w:sz w:val="21"/>
                <w:szCs w:val="21"/>
              </w:rPr>
              <w:t>投标函按招标文件规定填报了项目名称、补遗书编号（如有）、监理服务期、工程质量要求及安全目标；</w:t>
            </w:r>
          </w:p>
          <w:p>
            <w:pPr>
              <w:pStyle w:val="13"/>
              <w:numPr>
                <w:ilvl w:val="1"/>
                <w:numId w:val="2"/>
              </w:numPr>
              <w:tabs>
                <w:tab w:val="left" w:pos="841"/>
              </w:tabs>
              <w:spacing w:before="16" w:after="0" w:line="240" w:lineRule="auto"/>
              <w:ind w:left="840" w:right="0" w:hanging="212"/>
              <w:jc w:val="left"/>
              <w:rPr>
                <w:rFonts w:hint="eastAsia" w:ascii="宋体" w:hAnsi="宋体" w:eastAsia="宋体" w:cs="宋体"/>
                <w:sz w:val="21"/>
                <w:szCs w:val="21"/>
              </w:rPr>
            </w:pPr>
            <w:r>
              <w:rPr>
                <w:rFonts w:hint="eastAsia" w:ascii="宋体" w:hAnsi="宋体" w:eastAsia="宋体" w:cs="宋体"/>
                <w:sz w:val="21"/>
                <w:szCs w:val="21"/>
              </w:rPr>
              <w:t>投标文件组成齐全完整，内容均按规定填写。</w:t>
            </w:r>
          </w:p>
          <w:p>
            <w:pPr>
              <w:pStyle w:val="13"/>
              <w:numPr>
                <w:ilvl w:val="0"/>
                <w:numId w:val="2"/>
              </w:numPr>
              <w:tabs>
                <w:tab w:val="left" w:pos="633"/>
              </w:tabs>
              <w:spacing w:before="151" w:after="0" w:line="357" w:lineRule="auto"/>
              <w:ind w:left="108" w:right="143" w:firstLine="0"/>
              <w:jc w:val="left"/>
              <w:rPr>
                <w:rFonts w:hint="eastAsia" w:ascii="宋体" w:hAnsi="宋体" w:eastAsia="宋体" w:cs="宋体"/>
                <w:sz w:val="21"/>
                <w:szCs w:val="21"/>
              </w:rPr>
            </w:pPr>
            <w:r>
              <w:rPr>
                <w:rFonts w:hint="eastAsia" w:ascii="宋体" w:hAnsi="宋体" w:eastAsia="宋体" w:cs="宋体"/>
                <w:sz w:val="21"/>
                <w:szCs w:val="21"/>
              </w:rPr>
              <w:t>投标文件上法定代表人或其委托代理人的签字、投标人的单位章盖章  齐全，符合招标文件规定。</w:t>
            </w:r>
          </w:p>
          <w:p>
            <w:pPr>
              <w:pStyle w:val="13"/>
              <w:numPr>
                <w:ilvl w:val="0"/>
                <w:numId w:val="2"/>
              </w:numPr>
              <w:tabs>
                <w:tab w:val="left" w:pos="633"/>
              </w:tabs>
              <w:spacing w:before="17" w:after="0" w:line="240" w:lineRule="auto"/>
              <w:ind w:left="632" w:right="0" w:hanging="525"/>
              <w:jc w:val="left"/>
              <w:rPr>
                <w:rFonts w:hint="eastAsia" w:ascii="宋体" w:hAnsi="宋体" w:eastAsia="宋体" w:cs="宋体"/>
                <w:sz w:val="21"/>
                <w:szCs w:val="21"/>
              </w:rPr>
            </w:pPr>
            <w:r>
              <w:rPr>
                <w:rFonts w:hint="eastAsia" w:ascii="宋体" w:hAnsi="宋体" w:eastAsia="宋体" w:cs="宋体"/>
                <w:sz w:val="21"/>
                <w:szCs w:val="21"/>
              </w:rPr>
              <w:t>投标人按照招标文件的规定提供了投标保证金：</w:t>
            </w:r>
          </w:p>
          <w:p>
            <w:pPr>
              <w:pStyle w:val="13"/>
              <w:numPr>
                <w:ilvl w:val="0"/>
                <w:numId w:val="2"/>
              </w:numPr>
              <w:tabs>
                <w:tab w:val="left" w:pos="633"/>
              </w:tabs>
              <w:spacing w:before="151" w:after="0" w:line="357" w:lineRule="auto"/>
              <w:ind w:left="108" w:right="143" w:firstLine="0"/>
              <w:jc w:val="left"/>
              <w:rPr>
                <w:rFonts w:hint="eastAsia" w:ascii="宋体" w:hAnsi="宋体" w:eastAsia="宋体" w:cs="宋体"/>
                <w:sz w:val="21"/>
                <w:szCs w:val="21"/>
              </w:rPr>
            </w:pPr>
            <w:r>
              <w:rPr>
                <w:rFonts w:hint="eastAsia" w:ascii="宋体" w:hAnsi="宋体" w:eastAsia="宋体" w:cs="宋体"/>
                <w:sz w:val="21"/>
                <w:szCs w:val="21"/>
              </w:rPr>
              <w:t>投标保证金金额符合招标文件规定的金额，且投标保证金有效期不 少于投标有效期；</w:t>
            </w:r>
          </w:p>
          <w:p>
            <w:pPr>
              <w:pStyle w:val="13"/>
              <w:numPr>
                <w:ilvl w:val="1"/>
                <w:numId w:val="2"/>
              </w:numPr>
              <w:tabs>
                <w:tab w:val="left" w:pos="841"/>
              </w:tabs>
              <w:spacing w:before="10" w:after="0" w:line="357" w:lineRule="auto"/>
              <w:ind w:left="209" w:right="196" w:firstLine="420"/>
              <w:jc w:val="left"/>
              <w:rPr>
                <w:rFonts w:hint="eastAsia" w:ascii="宋体" w:hAnsi="宋体" w:eastAsia="宋体" w:cs="宋体"/>
                <w:sz w:val="21"/>
                <w:szCs w:val="21"/>
              </w:rPr>
            </w:pPr>
            <w:r>
              <w:rPr>
                <w:rFonts w:hint="eastAsia" w:ascii="宋体" w:hAnsi="宋体" w:eastAsia="宋体" w:cs="宋体"/>
                <w:spacing w:val="-4"/>
                <w:sz w:val="21"/>
                <w:szCs w:val="21"/>
              </w:rPr>
              <w:t>若投标保证金采用现金或支票形式提交，投标人应在递交投标文件</w:t>
            </w:r>
            <w:r>
              <w:rPr>
                <w:rFonts w:hint="eastAsia" w:ascii="宋体" w:hAnsi="宋体" w:eastAsia="宋体" w:cs="宋体"/>
                <w:spacing w:val="-12"/>
                <w:sz w:val="21"/>
                <w:szCs w:val="21"/>
              </w:rPr>
              <w:t>截止时间之前，将投标保证金由投标人的基本账户转入招标人指定账户；</w:t>
            </w:r>
          </w:p>
          <w:p>
            <w:pPr>
              <w:pStyle w:val="13"/>
              <w:numPr>
                <w:ilvl w:val="1"/>
                <w:numId w:val="2"/>
              </w:numPr>
              <w:tabs>
                <w:tab w:val="left" w:pos="841"/>
              </w:tabs>
              <w:spacing w:before="4" w:after="0" w:line="357" w:lineRule="auto"/>
              <w:ind w:left="209" w:right="196" w:firstLine="420"/>
              <w:jc w:val="both"/>
              <w:rPr>
                <w:rFonts w:hint="eastAsia" w:ascii="宋体" w:hAnsi="宋体" w:eastAsia="宋体" w:cs="宋体"/>
                <w:sz w:val="21"/>
                <w:szCs w:val="21"/>
              </w:rPr>
            </w:pPr>
            <w:r>
              <w:rPr>
                <w:rFonts w:hint="eastAsia" w:ascii="宋体" w:hAnsi="宋体" w:eastAsia="宋体" w:cs="宋体"/>
                <w:sz w:val="21"/>
                <w:szCs w:val="21"/>
              </w:rPr>
              <w:t>若投标保证金采用银行保函形式提交，银行保函的格式、开具保函的银行均满足招</w:t>
            </w:r>
            <w:r>
              <w:rPr>
                <w:rFonts w:hint="eastAsia" w:ascii="宋体" w:hAnsi="宋体" w:eastAsia="宋体" w:cs="宋体"/>
                <w:spacing w:val="-8"/>
                <w:sz w:val="21"/>
                <w:szCs w:val="21"/>
              </w:rPr>
              <w:t>标文件要求，且在递交投标文件截止时间之前向招标人提</w:t>
            </w:r>
            <w:r>
              <w:rPr>
                <w:rFonts w:hint="eastAsia" w:ascii="宋体" w:hAnsi="宋体" w:eastAsia="宋体" w:cs="宋体"/>
                <w:spacing w:val="-3"/>
                <w:sz w:val="21"/>
                <w:szCs w:val="21"/>
              </w:rPr>
              <w:t>交了银行保函原件。</w:t>
            </w:r>
          </w:p>
          <w:p>
            <w:pPr>
              <w:pStyle w:val="13"/>
              <w:numPr>
                <w:ilvl w:val="0"/>
                <w:numId w:val="2"/>
              </w:numPr>
              <w:tabs>
                <w:tab w:val="left" w:pos="633"/>
              </w:tabs>
              <w:spacing w:before="17" w:after="0" w:line="357" w:lineRule="auto"/>
              <w:ind w:left="108" w:right="287" w:firstLine="0"/>
              <w:jc w:val="left"/>
              <w:rPr>
                <w:rFonts w:hint="eastAsia" w:ascii="宋体" w:hAnsi="宋体" w:eastAsia="宋体" w:cs="宋体"/>
                <w:sz w:val="21"/>
                <w:szCs w:val="21"/>
              </w:rPr>
            </w:pPr>
            <w:r>
              <w:rPr>
                <w:rFonts w:hint="eastAsia" w:ascii="宋体" w:hAnsi="宋体" w:eastAsia="宋体" w:cs="宋体"/>
                <w:spacing w:val="-3"/>
                <w:sz w:val="21"/>
                <w:szCs w:val="21"/>
              </w:rPr>
              <w:t>投标人法定代表人授权委托代理人签署投标文件的，须提交授权委</w:t>
            </w:r>
            <w:r>
              <w:rPr>
                <w:rFonts w:hint="eastAsia" w:ascii="宋体" w:hAnsi="宋体" w:eastAsia="宋体" w:cs="宋体"/>
                <w:sz w:val="21"/>
                <w:szCs w:val="21"/>
              </w:rPr>
              <w:t>托书，且授权人和被授权人均在授权委托书上签名，未使用印章、签名章或</w:t>
            </w:r>
            <w:r>
              <w:rPr>
                <w:rFonts w:hint="eastAsia" w:ascii="宋体" w:hAnsi="宋体" w:eastAsia="宋体" w:cs="宋体"/>
                <w:spacing w:val="-3"/>
                <w:sz w:val="21"/>
                <w:szCs w:val="21"/>
              </w:rPr>
              <w:t>其他电子制版签名代替。</w:t>
            </w:r>
          </w:p>
          <w:p>
            <w:pPr>
              <w:pStyle w:val="13"/>
              <w:numPr>
                <w:ilvl w:val="0"/>
                <w:numId w:val="2"/>
              </w:numPr>
              <w:tabs>
                <w:tab w:val="left" w:pos="633"/>
              </w:tabs>
              <w:spacing w:before="16" w:after="0" w:line="240" w:lineRule="auto"/>
              <w:ind w:left="632" w:right="0" w:hanging="525"/>
              <w:jc w:val="left"/>
              <w:rPr>
                <w:rFonts w:hint="eastAsia" w:ascii="宋体" w:hAnsi="宋体" w:eastAsia="宋体" w:cs="宋体"/>
                <w:sz w:val="21"/>
                <w:szCs w:val="21"/>
              </w:rPr>
            </w:pPr>
            <w:r>
              <w:rPr>
                <w:rFonts w:hint="eastAsia" w:ascii="宋体" w:hAnsi="宋体" w:eastAsia="宋体" w:cs="宋体"/>
                <w:spacing w:val="-3"/>
                <w:sz w:val="21"/>
                <w:szCs w:val="21"/>
              </w:rPr>
              <w:t>投标人法定代表人亲自签署投标文件的，提供了法定代表人身份证明</w:t>
            </w:r>
          </w:p>
          <w:p>
            <w:pPr>
              <w:pStyle w:val="13"/>
              <w:spacing w:before="132" w:line="355" w:lineRule="auto"/>
              <w:ind w:left="108" w:right="83"/>
              <w:rPr>
                <w:rFonts w:hint="eastAsia" w:ascii="宋体" w:hAnsi="宋体" w:eastAsia="宋体" w:cs="宋体"/>
                <w:sz w:val="21"/>
                <w:szCs w:val="21"/>
              </w:rPr>
            </w:pPr>
            <w:r>
              <w:rPr>
                <w:rFonts w:hint="eastAsia" w:ascii="宋体" w:hAnsi="宋体" w:eastAsia="宋体" w:cs="宋体"/>
                <w:spacing w:val="-3"/>
                <w:w w:val="95"/>
                <w:sz w:val="21"/>
                <w:szCs w:val="21"/>
              </w:rPr>
              <w:t>，</w:t>
            </w:r>
            <w:r>
              <w:rPr>
                <w:rFonts w:hint="eastAsia" w:ascii="宋体" w:hAnsi="宋体" w:eastAsia="宋体" w:cs="宋体"/>
                <w:sz w:val="21"/>
                <w:szCs w:val="21"/>
              </w:rPr>
              <w:t>且法定代表人在法定代表人身份证明上签名，未使用印章、签名章或其他电子制版签名代替。</w:t>
            </w:r>
          </w:p>
          <w:p>
            <w:pPr>
              <w:pStyle w:val="13"/>
              <w:numPr>
                <w:ilvl w:val="0"/>
                <w:numId w:val="2"/>
              </w:numPr>
              <w:tabs>
                <w:tab w:val="left" w:pos="633"/>
              </w:tabs>
              <w:spacing w:before="22" w:after="0" w:line="240" w:lineRule="auto"/>
              <w:ind w:left="632" w:right="0" w:hanging="525"/>
              <w:jc w:val="left"/>
              <w:rPr>
                <w:rFonts w:hint="eastAsia" w:ascii="宋体" w:hAnsi="宋体" w:eastAsia="宋体" w:cs="宋体"/>
                <w:sz w:val="21"/>
                <w:szCs w:val="21"/>
              </w:rPr>
            </w:pPr>
            <w:r>
              <w:rPr>
                <w:rFonts w:hint="eastAsia" w:ascii="宋体" w:hAnsi="宋体" w:eastAsia="宋体" w:cs="宋体"/>
                <w:spacing w:val="-3"/>
                <w:sz w:val="21"/>
                <w:szCs w:val="21"/>
              </w:rPr>
              <w:t>同一投标人未提交两个以上不同的投标文件。</w:t>
            </w:r>
          </w:p>
          <w:p>
            <w:pPr>
              <w:pStyle w:val="13"/>
              <w:numPr>
                <w:ilvl w:val="0"/>
                <w:numId w:val="2"/>
              </w:numPr>
              <w:tabs>
                <w:tab w:val="left" w:pos="633"/>
              </w:tabs>
              <w:spacing w:before="151" w:after="0" w:line="240" w:lineRule="auto"/>
              <w:ind w:left="632" w:right="0" w:hanging="525"/>
              <w:jc w:val="left"/>
              <w:rPr>
                <w:rFonts w:hint="eastAsia" w:ascii="宋体" w:hAnsi="宋体" w:eastAsia="宋体" w:cs="宋体"/>
                <w:sz w:val="21"/>
                <w:szCs w:val="21"/>
              </w:rPr>
            </w:pPr>
            <w:r>
              <w:rPr>
                <w:rFonts w:hint="eastAsia" w:ascii="宋体" w:hAnsi="宋体" w:eastAsia="宋体" w:cs="宋体"/>
                <w:spacing w:val="-3"/>
                <w:sz w:val="21"/>
                <w:szCs w:val="21"/>
              </w:rPr>
              <w:t>投标文件中未出现有关投标报价的内容。</w:t>
            </w:r>
          </w:p>
          <w:p>
            <w:pPr>
              <w:pStyle w:val="13"/>
              <w:numPr>
                <w:ilvl w:val="0"/>
                <w:numId w:val="2"/>
              </w:numPr>
              <w:tabs>
                <w:tab w:val="left" w:pos="633"/>
              </w:tabs>
              <w:spacing w:before="148" w:after="0" w:line="240" w:lineRule="auto"/>
              <w:ind w:left="632" w:right="0" w:hanging="525"/>
              <w:jc w:val="left"/>
              <w:rPr>
                <w:rFonts w:hint="eastAsia" w:ascii="宋体" w:hAnsi="宋体" w:eastAsia="宋体" w:cs="宋体"/>
                <w:sz w:val="21"/>
                <w:szCs w:val="21"/>
              </w:rPr>
            </w:pPr>
            <w:r>
              <w:rPr>
                <w:rFonts w:hint="eastAsia" w:ascii="宋体" w:hAnsi="宋体" w:eastAsia="宋体" w:cs="宋体"/>
                <w:spacing w:val="-3"/>
                <w:sz w:val="21"/>
                <w:szCs w:val="21"/>
              </w:rPr>
              <w:t>投标文件载明的招标项目完成期限未超过招标文件规定的时限。</w:t>
            </w:r>
          </w:p>
          <w:p>
            <w:pPr>
              <w:pStyle w:val="13"/>
              <w:numPr>
                <w:ilvl w:val="0"/>
                <w:numId w:val="2"/>
              </w:numPr>
              <w:tabs>
                <w:tab w:val="left" w:pos="633"/>
              </w:tabs>
              <w:spacing w:before="156" w:after="0" w:line="240" w:lineRule="auto"/>
              <w:ind w:left="632" w:right="0" w:hanging="525"/>
              <w:jc w:val="left"/>
              <w:rPr>
                <w:sz w:val="21"/>
              </w:rPr>
            </w:pPr>
            <w:r>
              <w:rPr>
                <w:rFonts w:hint="eastAsia" w:ascii="宋体" w:hAnsi="宋体" w:eastAsia="宋体" w:cs="宋体"/>
                <w:spacing w:val="-3"/>
                <w:sz w:val="21"/>
                <w:szCs w:val="21"/>
              </w:rPr>
              <w:t>投标文件对招标文件的实质</w:t>
            </w:r>
            <w:r>
              <w:rPr>
                <w:spacing w:val="-3"/>
                <w:sz w:val="21"/>
              </w:rPr>
              <w:t>性要求和条件作出响应。</w:t>
            </w:r>
          </w:p>
          <w:p>
            <w:pPr>
              <w:pStyle w:val="13"/>
              <w:numPr>
                <w:ilvl w:val="0"/>
                <w:numId w:val="2"/>
              </w:numPr>
              <w:tabs>
                <w:tab w:val="left" w:pos="739"/>
              </w:tabs>
              <w:spacing w:before="153" w:after="0" w:line="240" w:lineRule="auto"/>
              <w:ind w:left="738" w:right="0" w:hanging="631"/>
              <w:jc w:val="left"/>
              <w:rPr>
                <w:sz w:val="21"/>
              </w:rPr>
            </w:pPr>
            <w:r>
              <w:rPr>
                <w:spacing w:val="-3"/>
                <w:sz w:val="21"/>
              </w:rPr>
              <w:t>权利义务符合招标文件规定：</w:t>
            </w:r>
          </w:p>
        </w:tc>
      </w:tr>
    </w:tbl>
    <w:p>
      <w:pPr>
        <w:spacing w:after="0" w:line="240" w:lineRule="auto"/>
        <w:jc w:val="left"/>
        <w:rPr>
          <w:sz w:val="21"/>
        </w:rPr>
        <w:sectPr>
          <w:pgSz w:w="11910" w:h="16838"/>
          <w:pgMar w:top="1100" w:right="1378" w:bottom="845" w:left="1440" w:header="890" w:footer="737" w:gutter="0"/>
          <w:pgNumType w:fmt="decimal"/>
          <w:cols w:space="0" w:num="1"/>
          <w:rtlGutter w:val="0"/>
          <w:docGrid w:linePitch="0" w:charSpace="0"/>
        </w:sectPr>
      </w:pPr>
    </w:p>
    <w:tbl>
      <w:tblPr>
        <w:tblStyle w:val="9"/>
        <w:tblW w:w="9351" w:type="dxa"/>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809"/>
        <w:gridCol w:w="7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3" w:hRule="atLeast"/>
        </w:trPr>
        <w:tc>
          <w:tcPr>
            <w:tcW w:w="817" w:type="dxa"/>
          </w:tcPr>
          <w:p>
            <w:pPr>
              <w:pStyle w:val="13"/>
              <w:rPr>
                <w:rFonts w:ascii="Times New Roman"/>
                <w:sz w:val="20"/>
              </w:rPr>
            </w:pPr>
          </w:p>
        </w:tc>
        <w:tc>
          <w:tcPr>
            <w:tcW w:w="809" w:type="dxa"/>
          </w:tcPr>
          <w:p>
            <w:pPr>
              <w:pStyle w:val="13"/>
              <w:rPr>
                <w:rFonts w:ascii="Times New Roman"/>
                <w:sz w:val="20"/>
              </w:rPr>
            </w:pPr>
          </w:p>
        </w:tc>
        <w:tc>
          <w:tcPr>
            <w:tcW w:w="7725" w:type="dxa"/>
          </w:tcPr>
          <w:p>
            <w:pPr>
              <w:ind w:firstLine="630" w:firstLineChars="300"/>
              <w:rPr>
                <w:sz w:val="21"/>
                <w:szCs w:val="21"/>
              </w:rPr>
            </w:pPr>
            <w:r>
              <w:rPr>
                <w:rFonts w:hint="eastAsia"/>
                <w:sz w:val="21"/>
                <w:szCs w:val="21"/>
                <w:lang w:val="en-US" w:eastAsia="zh-CN"/>
              </w:rPr>
              <w:t>a  .</w:t>
            </w:r>
            <w:r>
              <w:rPr>
                <w:sz w:val="21"/>
                <w:szCs w:val="21"/>
              </w:rPr>
              <w:t>投标人应接受招标文件规定的风险划分原则，未提出新的风险划分 办法；</w:t>
            </w:r>
          </w:p>
          <w:p>
            <w:pPr>
              <w:pStyle w:val="13"/>
              <w:numPr>
                <w:ilvl w:val="0"/>
                <w:numId w:val="0"/>
              </w:numPr>
              <w:tabs>
                <w:tab w:val="left" w:pos="841"/>
              </w:tabs>
              <w:spacing w:before="24" w:after="0" w:line="376" w:lineRule="auto"/>
              <w:ind w:left="629" w:leftChars="0" w:right="1225" w:rightChars="0"/>
              <w:jc w:val="left"/>
              <w:rPr>
                <w:spacing w:val="-3"/>
                <w:sz w:val="21"/>
              </w:rPr>
            </w:pPr>
            <w:r>
              <w:rPr>
                <w:rFonts w:hint="eastAsia"/>
                <w:spacing w:val="-3"/>
                <w:sz w:val="21"/>
                <w:lang w:val="en-US" w:eastAsia="zh-CN"/>
              </w:rPr>
              <w:t>b.</w:t>
            </w:r>
            <w:r>
              <w:rPr>
                <w:spacing w:val="-3"/>
                <w:sz w:val="21"/>
              </w:rPr>
              <w:t>投标人未增加委托人的责任范围，或减少投标人义务；</w:t>
            </w:r>
          </w:p>
          <w:p>
            <w:pPr>
              <w:pStyle w:val="13"/>
              <w:numPr>
                <w:ilvl w:val="0"/>
                <w:numId w:val="0"/>
              </w:numPr>
              <w:tabs>
                <w:tab w:val="left" w:pos="841"/>
              </w:tabs>
              <w:spacing w:before="24" w:after="0" w:line="376" w:lineRule="auto"/>
              <w:ind w:left="629" w:leftChars="0" w:right="1225" w:rightChars="0"/>
              <w:jc w:val="left"/>
              <w:rPr>
                <w:sz w:val="21"/>
              </w:rPr>
            </w:pPr>
            <w:r>
              <w:rPr>
                <w:spacing w:val="-3"/>
                <w:w w:val="95"/>
                <w:sz w:val="21"/>
              </w:rPr>
              <w:t xml:space="preserve"> </w:t>
            </w:r>
            <w:r>
              <w:rPr>
                <w:spacing w:val="-3"/>
                <w:sz w:val="21"/>
              </w:rPr>
              <w:t>c.投标人未提出不同的支付办法；</w:t>
            </w:r>
          </w:p>
          <w:p>
            <w:pPr>
              <w:pStyle w:val="13"/>
              <w:spacing w:before="2" w:line="379" w:lineRule="auto"/>
              <w:ind w:left="629" w:right="1921"/>
              <w:rPr>
                <w:spacing w:val="-3"/>
                <w:w w:val="95"/>
                <w:sz w:val="21"/>
              </w:rPr>
            </w:pPr>
            <w:r>
              <w:rPr>
                <w:w w:val="95"/>
                <w:sz w:val="21"/>
              </w:rPr>
              <w:t>d</w:t>
            </w:r>
            <w:r>
              <w:rPr>
                <w:spacing w:val="-3"/>
                <w:w w:val="95"/>
                <w:sz w:val="21"/>
              </w:rPr>
              <w:t>.</w:t>
            </w:r>
            <w:r>
              <w:rPr>
                <w:spacing w:val="-3"/>
                <w:sz w:val="21"/>
              </w:rPr>
              <w:t xml:space="preserve">投标人对合同纠纷、事故处理办法未提出异议； </w:t>
            </w:r>
          </w:p>
          <w:p>
            <w:pPr>
              <w:pStyle w:val="13"/>
              <w:spacing w:before="2" w:line="379" w:lineRule="auto"/>
              <w:ind w:left="629" w:right="1921"/>
              <w:rPr>
                <w:sz w:val="21"/>
              </w:rPr>
            </w:pPr>
            <w:r>
              <w:rPr>
                <w:spacing w:val="-3"/>
                <w:sz w:val="21"/>
              </w:rPr>
              <w:t>e.投标人在投标活动中无欺诈行为；</w:t>
            </w:r>
          </w:p>
          <w:p>
            <w:pPr>
              <w:pStyle w:val="13"/>
              <w:spacing w:before="139"/>
              <w:ind w:left="209" w:firstLine="420" w:firstLineChars="200"/>
              <w:rPr>
                <w:sz w:val="21"/>
              </w:rPr>
            </w:pPr>
            <w:r>
              <w:rPr>
                <w:sz w:val="21"/>
              </w:rPr>
              <w:t>f.投标人未对合同条款有重要保留。</w:t>
            </w:r>
          </w:p>
          <w:p>
            <w:pPr>
              <w:pStyle w:val="13"/>
              <w:spacing w:before="139"/>
              <w:ind w:left="209"/>
              <w:rPr>
                <w:sz w:val="21"/>
              </w:rPr>
            </w:pPr>
            <w:r>
              <w:rPr>
                <w:sz w:val="21"/>
              </w:rPr>
              <w:t>（11）投标文件正、副本份数符合招标文件第二章“投标人须知” 第</w:t>
            </w:r>
          </w:p>
          <w:p>
            <w:pPr>
              <w:pStyle w:val="13"/>
              <w:spacing w:before="132"/>
              <w:ind w:left="209"/>
              <w:rPr>
                <w:sz w:val="21"/>
              </w:rPr>
            </w:pPr>
            <w:r>
              <w:rPr>
                <w:sz w:val="21"/>
              </w:rPr>
              <w:t>3.7.4 项规定。</w:t>
            </w:r>
          </w:p>
          <w:p>
            <w:pPr>
              <w:pStyle w:val="13"/>
              <w:spacing w:before="129"/>
              <w:ind w:left="633"/>
              <w:rPr>
                <w:b/>
                <w:sz w:val="21"/>
              </w:rPr>
            </w:pPr>
            <w:r>
              <w:rPr>
                <w:b/>
                <w:sz w:val="21"/>
              </w:rPr>
              <w:t>第二个信封（报价文件）评审标准：</w:t>
            </w:r>
          </w:p>
          <w:p>
            <w:pPr>
              <w:pStyle w:val="13"/>
              <w:numPr>
                <w:ilvl w:val="0"/>
                <w:numId w:val="3"/>
              </w:numPr>
              <w:tabs>
                <w:tab w:val="left" w:pos="698"/>
              </w:tabs>
              <w:spacing w:before="132" w:after="0" w:line="357" w:lineRule="auto"/>
              <w:ind w:left="173" w:right="116" w:firstLine="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投标文件按照招标文件规定的格式、内容填写，字迹清晰可辨，内容  齐全完整；</w:t>
            </w:r>
          </w:p>
          <w:p>
            <w:pPr>
              <w:pStyle w:val="13"/>
              <w:numPr>
                <w:ilvl w:val="1"/>
                <w:numId w:val="3"/>
              </w:numPr>
              <w:tabs>
                <w:tab w:val="left" w:pos="694"/>
              </w:tabs>
              <w:spacing w:before="0" w:after="0" w:line="266" w:lineRule="exact"/>
              <w:ind w:left="693" w:right="0" w:hanging="209"/>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2"/>
                <w:sz w:val="21"/>
                <w:szCs w:val="21"/>
              </w:rPr>
              <w:t>投标函按招标文件规定填报了项目名称、补遗书编号</w:t>
            </w:r>
            <w:r>
              <w:rPr>
                <w:rFonts w:hint="eastAsia" w:asciiTheme="minorEastAsia" w:hAnsiTheme="minorEastAsia" w:eastAsiaTheme="minorEastAsia" w:cstheme="minorEastAsia"/>
                <w:spacing w:val="-3"/>
                <w:sz w:val="21"/>
                <w:szCs w:val="21"/>
              </w:rPr>
              <w:t>（</w:t>
            </w:r>
            <w:r>
              <w:rPr>
                <w:rFonts w:hint="eastAsia" w:asciiTheme="minorEastAsia" w:hAnsiTheme="minorEastAsia" w:eastAsiaTheme="minorEastAsia" w:cstheme="minorEastAsia"/>
                <w:sz w:val="21"/>
                <w:szCs w:val="21"/>
              </w:rPr>
              <w:t>如有</w:t>
            </w:r>
            <w:r>
              <w:rPr>
                <w:rFonts w:hint="eastAsia" w:asciiTheme="minorEastAsia" w:hAnsiTheme="minorEastAsia" w:eastAsiaTheme="minorEastAsia" w:cstheme="minorEastAsia"/>
                <w:spacing w:val="-106"/>
                <w:sz w:val="21"/>
                <w:szCs w:val="21"/>
              </w:rPr>
              <w:t>）</w:t>
            </w:r>
            <w:r>
              <w:rPr>
                <w:rFonts w:hint="eastAsia" w:asciiTheme="minorEastAsia" w:hAnsiTheme="minorEastAsia" w:eastAsiaTheme="minorEastAsia" w:cstheme="minorEastAsia"/>
                <w:spacing w:val="-1"/>
                <w:sz w:val="21"/>
                <w:szCs w:val="21"/>
              </w:rPr>
              <w:t>、投标价</w:t>
            </w:r>
          </w:p>
          <w:p>
            <w:pPr>
              <w:pStyle w:val="13"/>
              <w:numPr>
                <w:ilvl w:val="0"/>
                <w:numId w:val="0"/>
              </w:numPr>
              <w:tabs>
                <w:tab w:val="left" w:pos="698"/>
              </w:tabs>
              <w:spacing w:before="132" w:after="0" w:line="357" w:lineRule="auto"/>
              <w:ind w:left="173" w:leftChars="0" w:right="116" w:rightChars="0"/>
              <w:jc w:val="left"/>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（包括大写金额和小写金额）；</w:t>
            </w:r>
          </w:p>
          <w:p>
            <w:pPr>
              <w:pStyle w:val="13"/>
              <w:numPr>
                <w:ilvl w:val="1"/>
                <w:numId w:val="3"/>
              </w:numPr>
              <w:tabs>
                <w:tab w:val="left" w:pos="699"/>
              </w:tabs>
              <w:spacing w:before="131" w:after="0" w:line="355" w:lineRule="auto"/>
              <w:ind w:left="173" w:right="169" w:firstLine="314"/>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已标价报价清单说明文字与招标文件规定一致，未进行实质性修改和删</w:t>
            </w:r>
            <w:r>
              <w:rPr>
                <w:rFonts w:hint="eastAsia" w:asciiTheme="minorEastAsia" w:hAnsiTheme="minorEastAsia" w:eastAsiaTheme="minorEastAsia" w:cstheme="minorEastAsia"/>
                <w:spacing w:val="-2"/>
                <w:sz w:val="21"/>
                <w:szCs w:val="21"/>
              </w:rPr>
              <w:t>减；</w:t>
            </w:r>
          </w:p>
          <w:p>
            <w:pPr>
              <w:pStyle w:val="13"/>
              <w:numPr>
                <w:ilvl w:val="1"/>
                <w:numId w:val="3"/>
              </w:numPr>
              <w:tabs>
                <w:tab w:val="left" w:pos="694"/>
              </w:tabs>
              <w:spacing w:before="3" w:after="0" w:line="240" w:lineRule="auto"/>
              <w:ind w:left="693" w:right="0" w:hanging="209"/>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投标文件组成齐全完整，内容均按规定填写。</w:t>
            </w:r>
          </w:p>
          <w:p>
            <w:pPr>
              <w:pStyle w:val="13"/>
              <w:numPr>
                <w:ilvl w:val="0"/>
                <w:numId w:val="3"/>
              </w:numPr>
              <w:tabs>
                <w:tab w:val="left" w:pos="698"/>
              </w:tabs>
              <w:spacing w:before="132" w:after="0" w:line="355" w:lineRule="auto"/>
              <w:ind w:left="173" w:right="116" w:firstLine="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 xml:space="preserve">投标文件上法定代表人或其委托代理人的签字、投标人的单位章盖章 </w:t>
            </w:r>
            <w:r>
              <w:rPr>
                <w:rFonts w:hint="eastAsia" w:asciiTheme="minorEastAsia" w:hAnsiTheme="minorEastAsia" w:eastAsiaTheme="minorEastAsia" w:cstheme="minorEastAsia"/>
                <w:spacing w:val="-3"/>
                <w:w w:val="95"/>
                <w:sz w:val="21"/>
                <w:szCs w:val="21"/>
              </w:rPr>
              <w:t xml:space="preserve"> </w:t>
            </w:r>
            <w:r>
              <w:rPr>
                <w:rFonts w:hint="eastAsia" w:asciiTheme="minorEastAsia" w:hAnsiTheme="minorEastAsia" w:eastAsiaTheme="minorEastAsia" w:cstheme="minorEastAsia"/>
                <w:spacing w:val="-3"/>
                <w:sz w:val="21"/>
                <w:szCs w:val="21"/>
              </w:rPr>
              <w:t>齐全，符合招标文件规定。</w:t>
            </w:r>
          </w:p>
          <w:p>
            <w:pPr>
              <w:pStyle w:val="13"/>
              <w:numPr>
                <w:ilvl w:val="0"/>
                <w:numId w:val="3"/>
              </w:numPr>
              <w:tabs>
                <w:tab w:val="left" w:pos="698"/>
              </w:tabs>
              <w:spacing w:before="3" w:after="0" w:line="240" w:lineRule="auto"/>
              <w:ind w:left="697" w:right="0" w:hanging="525"/>
              <w:jc w:val="left"/>
              <w:rPr>
                <w:sz w:val="21"/>
              </w:rPr>
            </w:pPr>
            <w:r>
              <w:rPr>
                <w:spacing w:val="-3"/>
                <w:sz w:val="21"/>
              </w:rPr>
              <w:t>投标报价未超过招标文件设定的最高投标限价。</w:t>
            </w:r>
          </w:p>
          <w:p>
            <w:pPr>
              <w:pStyle w:val="13"/>
              <w:numPr>
                <w:ilvl w:val="0"/>
                <w:numId w:val="3"/>
              </w:numPr>
              <w:tabs>
                <w:tab w:val="left" w:pos="698"/>
              </w:tabs>
              <w:spacing w:before="131" w:after="0" w:line="240" w:lineRule="auto"/>
              <w:ind w:left="697" w:right="0" w:hanging="525"/>
              <w:jc w:val="left"/>
              <w:rPr>
                <w:sz w:val="21"/>
              </w:rPr>
            </w:pPr>
            <w:r>
              <w:rPr>
                <w:spacing w:val="-3"/>
                <w:sz w:val="21"/>
              </w:rPr>
              <w:t>投标报价的大写金额能够确定具体数值。</w:t>
            </w:r>
          </w:p>
          <w:p>
            <w:pPr>
              <w:pStyle w:val="13"/>
              <w:numPr>
                <w:ilvl w:val="0"/>
                <w:numId w:val="3"/>
              </w:numPr>
              <w:tabs>
                <w:tab w:val="left" w:pos="698"/>
              </w:tabs>
              <w:spacing w:before="130" w:after="0" w:line="240" w:lineRule="auto"/>
              <w:ind w:left="697" w:right="0" w:hanging="525"/>
              <w:jc w:val="left"/>
              <w:rPr>
                <w:sz w:val="21"/>
              </w:rPr>
            </w:pPr>
            <w:r>
              <w:rPr>
                <w:spacing w:val="-3"/>
                <w:sz w:val="21"/>
              </w:rPr>
              <w:t>同一投标人未提交两个以上不同的投标报价。</w:t>
            </w:r>
          </w:p>
          <w:p>
            <w:pPr>
              <w:pStyle w:val="13"/>
              <w:numPr>
                <w:ilvl w:val="0"/>
                <w:numId w:val="3"/>
              </w:numPr>
              <w:tabs>
                <w:tab w:val="left" w:pos="633"/>
              </w:tabs>
              <w:spacing w:before="0" w:after="0" w:line="400" w:lineRule="atLeast"/>
              <w:ind w:left="108" w:right="202" w:firstLine="0"/>
              <w:jc w:val="left"/>
              <w:rPr>
                <w:sz w:val="21"/>
              </w:rPr>
            </w:pPr>
            <w:r>
              <w:rPr>
                <w:spacing w:val="-4"/>
                <w:sz w:val="21"/>
              </w:rPr>
              <w:t xml:space="preserve">投标文件正、副本份数符合招标文件第二章“投标人须知”第 </w:t>
            </w:r>
            <w:r>
              <w:rPr>
                <w:sz w:val="21"/>
              </w:rPr>
              <w:t xml:space="preserve">3.7.4 </w:t>
            </w:r>
            <w:r>
              <w:rPr>
                <w:spacing w:val="-2"/>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6" w:hRule="atLeast"/>
        </w:trPr>
        <w:tc>
          <w:tcPr>
            <w:tcW w:w="817" w:type="dxa"/>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17"/>
              </w:rPr>
            </w:pPr>
          </w:p>
          <w:p>
            <w:pPr>
              <w:pStyle w:val="13"/>
              <w:ind w:left="146"/>
              <w:rPr>
                <w:sz w:val="21"/>
              </w:rPr>
            </w:pPr>
            <w:r>
              <w:rPr>
                <w:sz w:val="21"/>
              </w:rPr>
              <w:t>2.1.2</w:t>
            </w:r>
          </w:p>
        </w:tc>
        <w:tc>
          <w:tcPr>
            <w:tcW w:w="809" w:type="dxa"/>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9"/>
              <w:rPr>
                <w:b/>
                <w:sz w:val="23"/>
              </w:rPr>
            </w:pPr>
          </w:p>
          <w:p>
            <w:pPr>
              <w:pStyle w:val="13"/>
              <w:spacing w:line="304" w:lineRule="auto"/>
              <w:ind w:left="532" w:right="63" w:hanging="418"/>
              <w:rPr>
                <w:sz w:val="21"/>
              </w:rPr>
            </w:pPr>
            <w:r>
              <w:rPr>
                <w:sz w:val="21"/>
              </w:rPr>
              <w:t>资格评审标准</w:t>
            </w:r>
          </w:p>
        </w:tc>
        <w:tc>
          <w:tcPr>
            <w:tcW w:w="7725" w:type="dxa"/>
          </w:tcPr>
          <w:p>
            <w:pPr>
              <w:pStyle w:val="13"/>
              <w:numPr>
                <w:ilvl w:val="0"/>
                <w:numId w:val="4"/>
              </w:numPr>
              <w:tabs>
                <w:tab w:val="left" w:pos="626"/>
              </w:tabs>
              <w:spacing w:before="109" w:after="0" w:line="240" w:lineRule="auto"/>
              <w:ind w:left="625" w:right="0" w:hanging="518"/>
              <w:jc w:val="left"/>
              <w:rPr>
                <w:sz w:val="21"/>
              </w:rPr>
            </w:pPr>
            <w:r>
              <w:rPr>
                <w:spacing w:val="-3"/>
                <w:sz w:val="21"/>
              </w:rPr>
              <w:t>投标人具备有效的营业执照、监理资质证书和基本账户开户许可证；</w:t>
            </w:r>
          </w:p>
          <w:p>
            <w:pPr>
              <w:pStyle w:val="13"/>
              <w:numPr>
                <w:ilvl w:val="0"/>
                <w:numId w:val="4"/>
              </w:numPr>
              <w:tabs>
                <w:tab w:val="left" w:pos="626"/>
              </w:tabs>
              <w:spacing w:before="131" w:after="0" w:line="240" w:lineRule="auto"/>
              <w:ind w:left="625" w:right="0" w:hanging="518"/>
              <w:jc w:val="left"/>
              <w:rPr>
                <w:sz w:val="21"/>
              </w:rPr>
            </w:pPr>
            <w:r>
              <w:rPr>
                <w:spacing w:val="-3"/>
                <w:sz w:val="21"/>
              </w:rPr>
              <w:t>投标人的资质等级符合招标文件规定；</w:t>
            </w:r>
          </w:p>
          <w:p>
            <w:pPr>
              <w:pStyle w:val="13"/>
              <w:numPr>
                <w:ilvl w:val="0"/>
                <w:numId w:val="4"/>
              </w:numPr>
              <w:tabs>
                <w:tab w:val="left" w:pos="626"/>
              </w:tabs>
              <w:spacing w:before="132" w:after="0" w:line="240" w:lineRule="auto"/>
              <w:ind w:left="625" w:right="0" w:hanging="518"/>
              <w:jc w:val="left"/>
              <w:rPr>
                <w:sz w:val="21"/>
              </w:rPr>
            </w:pPr>
            <w:r>
              <w:rPr>
                <w:spacing w:val="-3"/>
                <w:sz w:val="21"/>
              </w:rPr>
              <w:t>投标人的类似项目业绩符合招标文件规定；</w:t>
            </w:r>
          </w:p>
          <w:p>
            <w:pPr>
              <w:pStyle w:val="13"/>
              <w:numPr>
                <w:ilvl w:val="0"/>
                <w:numId w:val="4"/>
              </w:numPr>
              <w:tabs>
                <w:tab w:val="left" w:pos="626"/>
              </w:tabs>
              <w:spacing w:before="130" w:after="0" w:line="240" w:lineRule="auto"/>
              <w:ind w:left="625" w:right="0" w:hanging="518"/>
              <w:jc w:val="left"/>
              <w:rPr>
                <w:sz w:val="21"/>
              </w:rPr>
            </w:pPr>
            <w:r>
              <w:rPr>
                <w:spacing w:val="-3"/>
                <w:sz w:val="21"/>
              </w:rPr>
              <w:t>投标人的信誉符合招标文件规定；</w:t>
            </w:r>
          </w:p>
          <w:p>
            <w:pPr>
              <w:pStyle w:val="13"/>
              <w:numPr>
                <w:ilvl w:val="0"/>
                <w:numId w:val="4"/>
              </w:numPr>
              <w:tabs>
                <w:tab w:val="left" w:pos="626"/>
              </w:tabs>
              <w:spacing w:before="131" w:after="0" w:line="240" w:lineRule="auto"/>
              <w:ind w:left="625" w:right="0" w:hanging="518"/>
              <w:jc w:val="left"/>
              <w:rPr>
                <w:sz w:val="21"/>
              </w:rPr>
            </w:pPr>
            <w:r>
              <w:rPr>
                <w:spacing w:val="-3"/>
                <w:sz w:val="21"/>
              </w:rPr>
              <w:t>投标人的总监理工程师、在岗情况符合招标文件规定；</w:t>
            </w:r>
          </w:p>
          <w:p>
            <w:pPr>
              <w:pStyle w:val="13"/>
              <w:numPr>
                <w:ilvl w:val="0"/>
                <w:numId w:val="4"/>
              </w:numPr>
              <w:tabs>
                <w:tab w:val="left" w:pos="626"/>
              </w:tabs>
              <w:spacing w:before="132" w:after="0" w:line="240" w:lineRule="auto"/>
              <w:ind w:left="625" w:right="0" w:hanging="518"/>
              <w:jc w:val="left"/>
              <w:rPr>
                <w:sz w:val="21"/>
              </w:rPr>
            </w:pPr>
            <w:r>
              <w:rPr>
                <w:spacing w:val="-3"/>
                <w:sz w:val="21"/>
              </w:rPr>
              <w:t>投标人的其他要求符合招标文件规定；</w:t>
            </w:r>
          </w:p>
          <w:p>
            <w:pPr>
              <w:pStyle w:val="13"/>
              <w:numPr>
                <w:ilvl w:val="0"/>
                <w:numId w:val="4"/>
              </w:numPr>
              <w:tabs>
                <w:tab w:val="left" w:pos="626"/>
              </w:tabs>
              <w:spacing w:before="129" w:after="0" w:line="357" w:lineRule="auto"/>
              <w:ind w:left="108" w:right="52" w:firstLine="0"/>
              <w:jc w:val="left"/>
              <w:rPr>
                <w:sz w:val="21"/>
              </w:rPr>
            </w:pPr>
            <w:r>
              <w:rPr>
                <w:spacing w:val="-4"/>
                <w:sz w:val="21"/>
              </w:rPr>
              <w:t xml:space="preserve">投标人不存在第二章“投标人须知”第 </w:t>
            </w:r>
            <w:r>
              <w:rPr>
                <w:sz w:val="21"/>
              </w:rPr>
              <w:t>1.4.3</w:t>
            </w:r>
            <w:r>
              <w:rPr>
                <w:spacing w:val="-9"/>
                <w:sz w:val="21"/>
              </w:rPr>
              <w:t xml:space="preserve"> 项或第 </w:t>
            </w:r>
            <w:r>
              <w:rPr>
                <w:sz w:val="21"/>
              </w:rPr>
              <w:t>1.4.4</w:t>
            </w:r>
            <w:r>
              <w:rPr>
                <w:spacing w:val="-6"/>
                <w:sz w:val="21"/>
              </w:rPr>
              <w:t xml:space="preserve"> 项规定的</w:t>
            </w:r>
            <w:r>
              <w:rPr>
                <w:spacing w:val="-3"/>
                <w:sz w:val="21"/>
              </w:rPr>
              <w:t>任何一种情形；</w:t>
            </w:r>
          </w:p>
          <w:p>
            <w:pPr>
              <w:pStyle w:val="13"/>
              <w:numPr>
                <w:ilvl w:val="0"/>
                <w:numId w:val="4"/>
              </w:numPr>
              <w:tabs>
                <w:tab w:val="left" w:pos="626"/>
              </w:tabs>
              <w:spacing w:before="0" w:after="0" w:line="269" w:lineRule="exact"/>
              <w:ind w:left="625" w:right="0" w:hanging="518"/>
              <w:jc w:val="left"/>
              <w:rPr>
                <w:sz w:val="21"/>
              </w:rPr>
            </w:pPr>
            <w:r>
              <w:rPr>
                <w:spacing w:val="-4"/>
                <w:sz w:val="21"/>
              </w:rPr>
              <w:t xml:space="preserve">投标人符合第二章“投标人须知”第 </w:t>
            </w:r>
            <w:r>
              <w:rPr>
                <w:sz w:val="21"/>
              </w:rPr>
              <w:t>1.4.5</w:t>
            </w:r>
            <w:r>
              <w:rPr>
                <w:spacing w:val="-4"/>
                <w:sz w:val="21"/>
              </w:rPr>
              <w:t xml:space="preserve"> 项规定。</w:t>
            </w:r>
          </w:p>
        </w:tc>
      </w:tr>
    </w:tbl>
    <w:p>
      <w:pPr>
        <w:spacing w:after="0" w:line="269" w:lineRule="exact"/>
        <w:jc w:val="left"/>
        <w:rPr>
          <w:sz w:val="21"/>
        </w:rPr>
        <w:sectPr>
          <w:pgSz w:w="11910" w:h="16838"/>
          <w:pgMar w:top="1100" w:right="1378" w:bottom="845" w:left="1440" w:header="890" w:footer="624" w:gutter="0"/>
          <w:pgNumType w:fmt="decimal"/>
          <w:cols w:space="0" w:num="1"/>
          <w:rtlGutter w:val="0"/>
          <w:docGrid w:linePitch="0" w:charSpace="0"/>
        </w:sectPr>
      </w:pPr>
    </w:p>
    <w:tbl>
      <w:tblPr>
        <w:tblStyle w:val="9"/>
        <w:tblW w:w="96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2"/>
        <w:gridCol w:w="957"/>
        <w:gridCol w:w="1087"/>
        <w:gridCol w:w="1936"/>
        <w:gridCol w:w="1418"/>
        <w:gridCol w:w="3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1162" w:type="dxa"/>
            <w:vAlign w:val="center"/>
          </w:tcPr>
          <w:p>
            <w:pPr>
              <w:pStyle w:val="13"/>
              <w:rPr>
                <w:b/>
                <w:sz w:val="24"/>
              </w:rPr>
            </w:pPr>
            <w:r>
              <w:rPr>
                <w:b/>
                <w:sz w:val="24"/>
              </w:rPr>
              <w:t>条款号</w:t>
            </w:r>
          </w:p>
        </w:tc>
        <w:tc>
          <w:tcPr>
            <w:tcW w:w="2044" w:type="dxa"/>
            <w:gridSpan w:val="2"/>
            <w:vAlign w:val="center"/>
          </w:tcPr>
          <w:p>
            <w:pPr>
              <w:pStyle w:val="13"/>
              <w:rPr>
                <w:b/>
                <w:sz w:val="24"/>
              </w:rPr>
            </w:pPr>
            <w:r>
              <w:rPr>
                <w:b/>
                <w:sz w:val="24"/>
              </w:rPr>
              <w:t>条款内容</w:t>
            </w:r>
          </w:p>
        </w:tc>
        <w:tc>
          <w:tcPr>
            <w:tcW w:w="6450" w:type="dxa"/>
            <w:gridSpan w:val="3"/>
            <w:vAlign w:val="center"/>
          </w:tcPr>
          <w:p>
            <w:pPr>
              <w:pStyle w:val="13"/>
              <w:ind w:right="2599"/>
              <w:jc w:val="center"/>
              <w:rPr>
                <w:b/>
                <w:sz w:val="24"/>
              </w:rPr>
            </w:pPr>
            <w:r>
              <w:rPr>
                <w:b/>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0" w:hRule="atLeast"/>
          <w:jc w:val="center"/>
        </w:trPr>
        <w:tc>
          <w:tcPr>
            <w:tcW w:w="1162" w:type="dxa"/>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10"/>
              <w:rPr>
                <w:rFonts w:ascii="Times New Roman"/>
                <w:sz w:val="28"/>
              </w:rPr>
            </w:pPr>
          </w:p>
          <w:p>
            <w:pPr>
              <w:pStyle w:val="13"/>
              <w:ind w:left="266"/>
              <w:rPr>
                <w:sz w:val="21"/>
              </w:rPr>
            </w:pPr>
            <w:r>
              <w:rPr>
                <w:sz w:val="21"/>
              </w:rPr>
              <w:t>2.2.1</w:t>
            </w:r>
          </w:p>
        </w:tc>
        <w:tc>
          <w:tcPr>
            <w:tcW w:w="2044" w:type="dxa"/>
            <w:gridSpan w:val="2"/>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8"/>
              <w:rPr>
                <w:rFonts w:ascii="Times New Roman"/>
                <w:sz w:val="20"/>
              </w:rPr>
            </w:pPr>
          </w:p>
          <w:p>
            <w:pPr>
              <w:pStyle w:val="13"/>
              <w:spacing w:line="302" w:lineRule="auto"/>
              <w:ind w:left="554" w:right="202" w:hanging="341"/>
              <w:rPr>
                <w:sz w:val="21"/>
              </w:rPr>
            </w:pPr>
            <w:r>
              <w:rPr>
                <w:sz w:val="21"/>
              </w:rPr>
              <w:t>分值构成（总分100 分）</w:t>
            </w:r>
          </w:p>
        </w:tc>
        <w:tc>
          <w:tcPr>
            <w:tcW w:w="6450" w:type="dxa"/>
            <w:gridSpan w:val="3"/>
          </w:tcPr>
          <w:p>
            <w:pPr>
              <w:pStyle w:val="13"/>
              <w:spacing w:before="61" w:line="302" w:lineRule="auto"/>
              <w:ind w:left="106" w:right="1698"/>
              <w:rPr>
                <w:sz w:val="21"/>
              </w:rPr>
            </w:pPr>
            <w:r>
              <w:rPr>
                <w:b/>
                <w:w w:val="95"/>
                <w:sz w:val="21"/>
              </w:rPr>
              <w:t xml:space="preserve">第一个信封（商务及技术文件）评分分值构成： </w:t>
            </w:r>
            <w:r>
              <w:rPr>
                <w:sz w:val="21"/>
              </w:rPr>
              <w:t>技术建议书：</w:t>
            </w:r>
            <w:r>
              <w:rPr>
                <w:sz w:val="21"/>
                <w:u w:val="single"/>
              </w:rPr>
              <w:t xml:space="preserve"> 35</w:t>
            </w:r>
            <w:r>
              <w:rPr>
                <w:sz w:val="21"/>
              </w:rPr>
              <w:t xml:space="preserve"> 分</w:t>
            </w:r>
          </w:p>
          <w:p>
            <w:pPr>
              <w:pStyle w:val="13"/>
              <w:spacing w:before="2" w:line="302" w:lineRule="auto"/>
              <w:ind w:left="106" w:right="4396"/>
              <w:rPr>
                <w:sz w:val="21"/>
              </w:rPr>
            </w:pPr>
            <w:r>
              <w:rPr>
                <w:sz w:val="21"/>
              </w:rPr>
              <w:t>主要人员：</w:t>
            </w:r>
            <w:r>
              <w:rPr>
                <w:sz w:val="21"/>
                <w:u w:val="single"/>
              </w:rPr>
              <w:t xml:space="preserve"> 25</w:t>
            </w:r>
            <w:r>
              <w:rPr>
                <w:sz w:val="21"/>
              </w:rPr>
              <w:t xml:space="preserve"> 分技术能力：</w:t>
            </w:r>
            <w:r>
              <w:rPr>
                <w:sz w:val="21"/>
                <w:u w:val="single"/>
              </w:rPr>
              <w:t xml:space="preserve"> 5 </w:t>
            </w:r>
            <w:r>
              <w:rPr>
                <w:sz w:val="21"/>
              </w:rPr>
              <w:t>分</w:t>
            </w:r>
          </w:p>
          <w:p>
            <w:pPr>
              <w:pStyle w:val="13"/>
              <w:spacing w:before="2" w:line="302" w:lineRule="auto"/>
              <w:ind w:left="106" w:right="4396"/>
              <w:rPr>
                <w:sz w:val="21"/>
              </w:rPr>
            </w:pPr>
            <w:r>
              <w:rPr>
                <w:sz w:val="21"/>
              </w:rPr>
              <w:t>业绩：</w:t>
            </w:r>
            <w:r>
              <w:rPr>
                <w:sz w:val="21"/>
                <w:u w:val="single"/>
              </w:rPr>
              <w:t xml:space="preserve"> 20</w:t>
            </w:r>
            <w:r>
              <w:rPr>
                <w:sz w:val="21"/>
              </w:rPr>
              <w:t xml:space="preserve"> 分</w:t>
            </w:r>
          </w:p>
          <w:p>
            <w:pPr>
              <w:pStyle w:val="13"/>
              <w:spacing w:before="3"/>
              <w:ind w:left="106"/>
              <w:rPr>
                <w:sz w:val="21"/>
              </w:rPr>
            </w:pPr>
            <w:r>
              <w:rPr>
                <w:sz w:val="21"/>
              </w:rPr>
              <w:t>履约信誉：</w:t>
            </w:r>
            <w:r>
              <w:rPr>
                <w:sz w:val="21"/>
                <w:u w:val="single"/>
              </w:rPr>
              <w:t xml:space="preserve"> 5 </w:t>
            </w:r>
            <w:r>
              <w:rPr>
                <w:sz w:val="21"/>
              </w:rPr>
              <w:t>分</w:t>
            </w:r>
          </w:p>
          <w:p>
            <w:pPr>
              <w:pStyle w:val="13"/>
              <w:spacing w:line="340" w:lineRule="atLeast"/>
              <w:ind w:left="212" w:right="2329" w:hanging="106"/>
              <w:rPr>
                <w:b/>
                <w:w w:val="95"/>
                <w:sz w:val="21"/>
              </w:rPr>
            </w:pPr>
            <w:r>
              <w:rPr>
                <w:b/>
                <w:w w:val="95"/>
                <w:sz w:val="21"/>
              </w:rPr>
              <w:t>第二个信封（报价文件）评分分值构成：</w:t>
            </w:r>
          </w:p>
          <w:p>
            <w:pPr>
              <w:pStyle w:val="13"/>
              <w:spacing w:line="340" w:lineRule="atLeast"/>
              <w:ind w:left="212" w:right="2329" w:hanging="106"/>
              <w:rPr>
                <w:sz w:val="21"/>
              </w:rPr>
            </w:pPr>
            <w:r>
              <w:rPr>
                <w:b/>
                <w:w w:val="95"/>
                <w:sz w:val="21"/>
              </w:rPr>
              <w:t xml:space="preserve"> </w:t>
            </w:r>
            <w:r>
              <w:rPr>
                <w:sz w:val="21"/>
              </w:rPr>
              <w:t>评标价：</w:t>
            </w:r>
            <w:r>
              <w:rPr>
                <w:sz w:val="21"/>
                <w:u w:val="single"/>
              </w:rPr>
              <w:t>10</w:t>
            </w:r>
            <w:r>
              <w:rPr>
                <w:sz w:val="21"/>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9" w:hRule="atLeast"/>
          <w:jc w:val="center"/>
        </w:trPr>
        <w:tc>
          <w:tcPr>
            <w:tcW w:w="1162" w:type="dxa"/>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132"/>
              <w:ind w:left="266"/>
              <w:rPr>
                <w:sz w:val="21"/>
              </w:rPr>
            </w:pPr>
            <w:r>
              <w:rPr>
                <w:sz w:val="21"/>
              </w:rPr>
              <w:t>2.2.2</w:t>
            </w:r>
          </w:p>
        </w:tc>
        <w:tc>
          <w:tcPr>
            <w:tcW w:w="2044" w:type="dxa"/>
            <w:gridSpan w:val="2"/>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8"/>
              <w:rPr>
                <w:rFonts w:ascii="Times New Roman"/>
                <w:sz w:val="16"/>
              </w:rPr>
            </w:pPr>
          </w:p>
          <w:p>
            <w:pPr>
              <w:pStyle w:val="13"/>
              <w:spacing w:line="304" w:lineRule="auto"/>
              <w:ind w:left="842" w:right="99" w:hanging="735"/>
              <w:rPr>
                <w:sz w:val="21"/>
              </w:rPr>
            </w:pPr>
            <w:r>
              <w:rPr>
                <w:sz w:val="21"/>
              </w:rPr>
              <w:t>评标基准价计算方法</w:t>
            </w:r>
          </w:p>
        </w:tc>
        <w:tc>
          <w:tcPr>
            <w:tcW w:w="6450" w:type="dxa"/>
            <w:gridSpan w:val="3"/>
          </w:tcPr>
          <w:p>
            <w:pPr>
              <w:pStyle w:val="13"/>
              <w:spacing w:before="60"/>
              <w:ind w:left="106"/>
              <w:rPr>
                <w:sz w:val="21"/>
              </w:rPr>
            </w:pPr>
            <w:r>
              <w:rPr>
                <w:sz w:val="21"/>
              </w:rPr>
              <w:t>评标基准价的计算：</w:t>
            </w:r>
          </w:p>
          <w:p>
            <w:pPr>
              <w:pStyle w:val="13"/>
              <w:spacing w:before="72"/>
              <w:ind w:left="106"/>
              <w:rPr>
                <w:sz w:val="21"/>
              </w:rPr>
            </w:pPr>
            <w:r>
              <w:rPr>
                <w:sz w:val="21"/>
              </w:rPr>
              <w:t>在开标现场，招标人将当场计算并宣布评标基准价。</w:t>
            </w:r>
          </w:p>
          <w:p>
            <w:pPr>
              <w:pStyle w:val="13"/>
              <w:numPr>
                <w:ilvl w:val="0"/>
                <w:numId w:val="5"/>
              </w:numPr>
              <w:tabs>
                <w:tab w:val="left" w:pos="634"/>
              </w:tabs>
              <w:spacing w:before="72" w:after="0" w:line="240" w:lineRule="auto"/>
              <w:ind w:left="633" w:right="0" w:hanging="528"/>
              <w:jc w:val="left"/>
              <w:rPr>
                <w:sz w:val="21"/>
              </w:rPr>
            </w:pPr>
            <w:r>
              <w:rPr>
                <w:sz w:val="21"/>
              </w:rPr>
              <w:t>评标价的确定：</w:t>
            </w:r>
          </w:p>
          <w:p>
            <w:pPr>
              <w:pStyle w:val="13"/>
              <w:spacing w:before="69"/>
              <w:ind w:left="630"/>
              <w:rPr>
                <w:sz w:val="21"/>
              </w:rPr>
            </w:pPr>
            <w:r>
              <w:rPr>
                <w:sz w:val="21"/>
              </w:rPr>
              <w:t>评标价=投标函文字报价</w:t>
            </w:r>
          </w:p>
          <w:p>
            <w:pPr>
              <w:pStyle w:val="13"/>
              <w:numPr>
                <w:ilvl w:val="0"/>
                <w:numId w:val="5"/>
              </w:numPr>
              <w:tabs>
                <w:tab w:val="left" w:pos="634"/>
              </w:tabs>
              <w:spacing w:before="72" w:after="0" w:line="240" w:lineRule="auto"/>
              <w:ind w:left="633" w:right="0" w:hanging="528"/>
              <w:jc w:val="left"/>
              <w:rPr>
                <w:sz w:val="21"/>
              </w:rPr>
            </w:pPr>
            <w:r>
              <w:rPr>
                <w:sz w:val="21"/>
              </w:rPr>
              <w:t>评标价平均值的计算</w:t>
            </w:r>
          </w:p>
          <w:p>
            <w:pPr>
              <w:pStyle w:val="13"/>
              <w:spacing w:before="72" w:line="302" w:lineRule="auto"/>
              <w:ind w:left="106" w:right="16" w:firstLine="420"/>
              <w:jc w:val="both"/>
              <w:rPr>
                <w:sz w:val="21"/>
              </w:rPr>
            </w:pPr>
            <w:r>
              <w:rPr>
                <w:spacing w:val="-5"/>
                <w:sz w:val="21"/>
              </w:rPr>
              <w:t xml:space="preserve">除按第二章“投标人须知”第 </w:t>
            </w:r>
            <w:r>
              <w:rPr>
                <w:sz w:val="21"/>
              </w:rPr>
              <w:t>5.2.4</w:t>
            </w:r>
            <w:r>
              <w:rPr>
                <w:spacing w:val="-8"/>
                <w:sz w:val="21"/>
              </w:rPr>
              <w:t xml:space="preserve"> 项规定开标现场被宣布为</w:t>
            </w:r>
            <w:r>
              <w:rPr>
                <w:sz w:val="21"/>
              </w:rPr>
              <w:t>不进入评标基准价计算的投标报价之外，所有投标人的评标价去掉  一个最高值和一个最低值后的算术平均值即为评标价平均值（如果</w:t>
            </w:r>
            <w:r>
              <w:rPr>
                <w:spacing w:val="-8"/>
                <w:w w:val="95"/>
                <w:sz w:val="21"/>
              </w:rPr>
              <w:t xml:space="preserve"> </w:t>
            </w:r>
            <w:r>
              <w:rPr>
                <w:spacing w:val="-11"/>
                <w:sz w:val="21"/>
              </w:rPr>
              <w:t xml:space="preserve">参与评标价平均值计算的有效投标人少于 </w:t>
            </w:r>
            <w:r>
              <w:rPr>
                <w:sz w:val="21"/>
              </w:rPr>
              <w:t>5</w:t>
            </w:r>
            <w:r>
              <w:rPr>
                <w:spacing w:val="-8"/>
                <w:sz w:val="21"/>
              </w:rPr>
              <w:t xml:space="preserve"> 家时，则计算评标价平均值时不去掉最高值和最低值）。</w:t>
            </w:r>
          </w:p>
          <w:p>
            <w:pPr>
              <w:pStyle w:val="13"/>
              <w:numPr>
                <w:ilvl w:val="0"/>
                <w:numId w:val="5"/>
              </w:numPr>
              <w:tabs>
                <w:tab w:val="left" w:pos="622"/>
              </w:tabs>
              <w:spacing w:before="4" w:after="0" w:line="240" w:lineRule="auto"/>
              <w:ind w:left="621" w:right="0" w:hanging="516"/>
              <w:jc w:val="left"/>
              <w:rPr>
                <w:sz w:val="21"/>
              </w:rPr>
            </w:pPr>
            <w:r>
              <w:rPr>
                <w:spacing w:val="-5"/>
                <w:sz w:val="21"/>
              </w:rPr>
              <w:t>评标基准价的确定：</w:t>
            </w:r>
          </w:p>
          <w:p>
            <w:pPr>
              <w:pStyle w:val="13"/>
              <w:spacing w:before="71"/>
              <w:ind w:left="406"/>
              <w:rPr>
                <w:sz w:val="21"/>
              </w:rPr>
            </w:pPr>
            <w:r>
              <w:rPr>
                <w:sz w:val="21"/>
              </w:rPr>
              <w:t>将评标价平均值直接作为评标基准价。</w:t>
            </w:r>
          </w:p>
          <w:p>
            <w:pPr>
              <w:pStyle w:val="13"/>
              <w:spacing w:before="70" w:line="302" w:lineRule="auto"/>
              <w:ind w:left="106" w:right="155" w:firstLine="300"/>
              <w:jc w:val="both"/>
              <w:rPr>
                <w:sz w:val="21"/>
              </w:rPr>
            </w:pPr>
            <w:r>
              <w:rPr>
                <w:sz w:val="21"/>
              </w:rPr>
              <w:t xml:space="preserve">在评标过程中 ，评标委员会应对招标人计算的评标基准价进行复核，存在计算错误的应予以修正并在评标报告中作出说明。除此 </w:t>
            </w:r>
            <w:r>
              <w:rPr>
                <w:spacing w:val="-8"/>
                <w:sz w:val="21"/>
              </w:rPr>
              <w:t>之外 评标基准价在整个评标期间保持不变 ，不随任何因素发生变</w:t>
            </w:r>
            <w:r>
              <w:rPr>
                <w:spacing w:val="-2"/>
                <w:sz w:val="21"/>
              </w:rPr>
              <w:t>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162" w:type="dxa"/>
          </w:tcPr>
          <w:p>
            <w:pPr>
              <w:pStyle w:val="13"/>
              <w:spacing w:before="7"/>
              <w:rPr>
                <w:rFonts w:ascii="Times New Roman"/>
                <w:sz w:val="26"/>
              </w:rPr>
            </w:pPr>
          </w:p>
          <w:p>
            <w:pPr>
              <w:pStyle w:val="13"/>
              <w:ind w:left="252"/>
              <w:rPr>
                <w:sz w:val="21"/>
              </w:rPr>
            </w:pPr>
            <w:r>
              <w:rPr>
                <w:w w:val="105"/>
                <w:sz w:val="21"/>
              </w:rPr>
              <w:t>2.2.3</w:t>
            </w:r>
          </w:p>
        </w:tc>
        <w:tc>
          <w:tcPr>
            <w:tcW w:w="2044" w:type="dxa"/>
            <w:gridSpan w:val="2"/>
          </w:tcPr>
          <w:p>
            <w:pPr>
              <w:pStyle w:val="13"/>
              <w:spacing w:before="64" w:line="340" w:lineRule="atLeast"/>
              <w:ind w:left="640" w:right="57" w:hanging="514"/>
              <w:rPr>
                <w:sz w:val="21"/>
              </w:rPr>
            </w:pPr>
            <w:r>
              <w:rPr>
                <w:sz w:val="21"/>
              </w:rPr>
              <w:t>评标价的偏差率计算公式</w:t>
            </w:r>
          </w:p>
        </w:tc>
        <w:tc>
          <w:tcPr>
            <w:tcW w:w="6450" w:type="dxa"/>
            <w:gridSpan w:val="3"/>
          </w:tcPr>
          <w:p>
            <w:pPr>
              <w:pStyle w:val="13"/>
              <w:spacing w:before="61" w:line="304" w:lineRule="auto"/>
              <w:ind w:left="106" w:right="685"/>
              <w:rPr>
                <w:sz w:val="21"/>
              </w:rPr>
            </w:pPr>
            <w:r>
              <w:rPr>
                <w:spacing w:val="-4"/>
                <w:sz w:val="21"/>
              </w:rPr>
              <w:t>偏差率=100</w:t>
            </w:r>
            <w:r>
              <w:rPr>
                <w:spacing w:val="-20"/>
                <w:sz w:val="21"/>
              </w:rPr>
              <w:t xml:space="preserve">% </w:t>
            </w:r>
            <w:r>
              <w:rPr>
                <w:spacing w:val="-5"/>
                <w:sz w:val="21"/>
              </w:rPr>
              <w:t>×（投标人评标价一评标基准价）/</w:t>
            </w:r>
            <w:r>
              <w:rPr>
                <w:spacing w:val="-4"/>
                <w:sz w:val="21"/>
              </w:rPr>
              <w:t>评标基准价</w:t>
            </w:r>
            <w:r>
              <w:rPr>
                <w:spacing w:val="-6"/>
                <w:sz w:val="21"/>
              </w:rPr>
              <w:t xml:space="preserve">偏差率保留 </w:t>
            </w:r>
            <w:r>
              <w:rPr>
                <w:rFonts w:hint="eastAsia"/>
                <w:sz w:val="21"/>
                <w:u w:val="single"/>
                <w:lang w:eastAsia="zh-CN"/>
              </w:rPr>
              <w:t>两</w:t>
            </w:r>
            <w:r>
              <w:rPr>
                <w:spacing w:val="-6"/>
                <w:sz w:val="21"/>
              </w:rPr>
              <w:t xml:space="preserve"> 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6560" w:type="dxa"/>
            <w:gridSpan w:val="5"/>
          </w:tcPr>
          <w:p>
            <w:pPr>
              <w:pStyle w:val="13"/>
              <w:spacing w:before="157"/>
              <w:ind w:left="2134" w:right="2121"/>
              <w:jc w:val="center"/>
              <w:rPr>
                <w:b/>
                <w:sz w:val="21"/>
              </w:rPr>
            </w:pPr>
            <w:r>
              <w:rPr>
                <w:b/>
                <w:sz w:val="21"/>
              </w:rPr>
              <w:t>评分因素与权重分值</w:t>
            </w:r>
          </w:p>
        </w:tc>
        <w:tc>
          <w:tcPr>
            <w:tcW w:w="3096" w:type="dxa"/>
            <w:vMerge w:val="restart"/>
          </w:tcPr>
          <w:p>
            <w:pPr>
              <w:pStyle w:val="13"/>
              <w:rPr>
                <w:rFonts w:ascii="Times New Roman"/>
                <w:sz w:val="20"/>
              </w:rPr>
            </w:pPr>
          </w:p>
          <w:p>
            <w:pPr>
              <w:pStyle w:val="13"/>
              <w:rPr>
                <w:rFonts w:ascii="Times New Roman"/>
                <w:sz w:val="20"/>
              </w:rPr>
            </w:pPr>
          </w:p>
          <w:p>
            <w:pPr>
              <w:pStyle w:val="13"/>
              <w:spacing w:before="5"/>
              <w:rPr>
                <w:rFonts w:ascii="Times New Roman"/>
                <w:sz w:val="16"/>
              </w:rPr>
            </w:pPr>
          </w:p>
          <w:p>
            <w:pPr>
              <w:pStyle w:val="13"/>
              <w:ind w:left="1047" w:right="1034"/>
              <w:jc w:val="center"/>
              <w:rPr>
                <w:b/>
                <w:sz w:val="21"/>
              </w:rPr>
            </w:pPr>
            <w:r>
              <w:rPr>
                <w:b/>
                <w:sz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162" w:type="dxa"/>
          </w:tcPr>
          <w:p>
            <w:pPr>
              <w:pStyle w:val="13"/>
              <w:rPr>
                <w:rFonts w:ascii="Times New Roman"/>
                <w:sz w:val="20"/>
              </w:rPr>
            </w:pPr>
          </w:p>
          <w:p>
            <w:pPr>
              <w:pStyle w:val="13"/>
              <w:spacing w:before="120"/>
              <w:ind w:left="214"/>
              <w:rPr>
                <w:b/>
                <w:sz w:val="21"/>
              </w:rPr>
            </w:pPr>
            <w:r>
              <w:rPr>
                <w:b/>
                <w:sz w:val="21"/>
              </w:rPr>
              <w:t>条款号</w:t>
            </w:r>
          </w:p>
        </w:tc>
        <w:tc>
          <w:tcPr>
            <w:tcW w:w="957" w:type="dxa"/>
          </w:tcPr>
          <w:p>
            <w:pPr>
              <w:pStyle w:val="13"/>
              <w:spacing w:before="6"/>
              <w:rPr>
                <w:rFonts w:ascii="Times New Roman"/>
                <w:sz w:val="18"/>
              </w:rPr>
            </w:pPr>
          </w:p>
          <w:p>
            <w:pPr>
              <w:pStyle w:val="13"/>
              <w:spacing w:line="244" w:lineRule="auto"/>
              <w:ind w:left="357" w:right="134" w:hanging="212"/>
              <w:rPr>
                <w:b/>
                <w:sz w:val="21"/>
              </w:rPr>
            </w:pPr>
            <w:r>
              <w:rPr>
                <w:b/>
                <w:sz w:val="21"/>
              </w:rPr>
              <w:t>评分因素</w:t>
            </w:r>
          </w:p>
        </w:tc>
        <w:tc>
          <w:tcPr>
            <w:tcW w:w="1087" w:type="dxa"/>
          </w:tcPr>
          <w:p>
            <w:pPr>
              <w:pStyle w:val="13"/>
              <w:spacing w:before="76" w:line="242" w:lineRule="auto"/>
              <w:ind w:left="170" w:right="159"/>
              <w:jc w:val="both"/>
              <w:rPr>
                <w:b/>
                <w:sz w:val="21"/>
              </w:rPr>
            </w:pPr>
            <w:r>
              <w:rPr>
                <w:b/>
                <w:sz w:val="21"/>
              </w:rPr>
              <w:t>评分因素权重分值</w:t>
            </w:r>
          </w:p>
        </w:tc>
        <w:tc>
          <w:tcPr>
            <w:tcW w:w="1936" w:type="dxa"/>
          </w:tcPr>
          <w:p>
            <w:pPr>
              <w:pStyle w:val="13"/>
              <w:spacing w:before="6"/>
              <w:rPr>
                <w:rFonts w:ascii="Times New Roman"/>
                <w:sz w:val="18"/>
              </w:rPr>
            </w:pPr>
          </w:p>
          <w:p>
            <w:pPr>
              <w:pStyle w:val="13"/>
              <w:spacing w:line="244" w:lineRule="auto"/>
              <w:ind w:left="810" w:right="165" w:hanging="632"/>
              <w:rPr>
                <w:b/>
                <w:sz w:val="21"/>
              </w:rPr>
            </w:pPr>
            <w:r>
              <w:rPr>
                <w:b/>
                <w:sz w:val="21"/>
              </w:rPr>
              <w:t>各评分因素细分项</w:t>
            </w:r>
          </w:p>
        </w:tc>
        <w:tc>
          <w:tcPr>
            <w:tcW w:w="1418" w:type="dxa"/>
          </w:tcPr>
          <w:p>
            <w:pPr>
              <w:pStyle w:val="13"/>
              <w:rPr>
                <w:rFonts w:ascii="Times New Roman"/>
                <w:sz w:val="20"/>
              </w:rPr>
            </w:pPr>
          </w:p>
          <w:p>
            <w:pPr>
              <w:pStyle w:val="13"/>
              <w:spacing w:before="120"/>
              <w:ind w:left="425" w:right="415"/>
              <w:jc w:val="center"/>
              <w:rPr>
                <w:b/>
                <w:sz w:val="21"/>
              </w:rPr>
            </w:pPr>
            <w:r>
              <w:rPr>
                <w:b/>
                <w:sz w:val="21"/>
              </w:rPr>
              <w:t>分值</w:t>
            </w:r>
          </w:p>
        </w:tc>
        <w:tc>
          <w:tcPr>
            <w:tcW w:w="3096" w:type="dxa"/>
            <w:vMerge w:val="continue"/>
            <w:tcBorders>
              <w:top w:val="nil"/>
            </w:tcBorders>
          </w:tcPr>
          <w:p>
            <w:pPr>
              <w:rPr>
                <w:sz w:val="2"/>
                <w:szCs w:val="2"/>
              </w:rPr>
            </w:pPr>
          </w:p>
        </w:tc>
      </w:tr>
    </w:tbl>
    <w:p>
      <w:pPr>
        <w:pStyle w:val="6"/>
        <w:rPr>
          <w:rFonts w:hint="eastAsia"/>
          <w:lang w:eastAsia="zh-CN"/>
        </w:rPr>
        <w:sectPr>
          <w:pgSz w:w="11910" w:h="16838"/>
          <w:pgMar w:top="1100" w:right="1378" w:bottom="845" w:left="1440" w:header="890" w:footer="737" w:gutter="0"/>
          <w:pgNumType w:fmt="decimal"/>
          <w:cols w:space="0" w:num="1"/>
          <w:rtlGutter w:val="0"/>
          <w:docGrid w:linePitch="0" w:charSpace="0"/>
        </w:sectPr>
      </w:pPr>
      <w:r>
        <w:rPr>
          <w:rFonts w:hint="eastAsia"/>
          <w:sz w:val="2"/>
          <w:szCs w:val="2"/>
          <w:lang w:eastAsia="zh-CN"/>
        </w:rPr>
        <w:t xml:space="preserve"> </w:t>
      </w:r>
    </w:p>
    <w:tbl>
      <w:tblPr>
        <w:tblStyle w:val="9"/>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5"/>
        <w:gridCol w:w="505"/>
        <w:gridCol w:w="524"/>
        <w:gridCol w:w="896"/>
        <w:gridCol w:w="706"/>
        <w:gridCol w:w="1151"/>
        <w:gridCol w:w="1439"/>
        <w:gridCol w:w="3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4" w:hRule="atLeast"/>
        </w:trPr>
        <w:tc>
          <w:tcPr>
            <w:tcW w:w="1075" w:type="dxa"/>
            <w:vMerge w:val="restart"/>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116"/>
              <w:ind w:left="108"/>
              <w:rPr>
                <w:sz w:val="21"/>
              </w:rPr>
            </w:pPr>
            <w:r>
              <w:rPr>
                <w:sz w:val="21"/>
              </w:rPr>
              <w:t>2.2.4(1)</w:t>
            </w:r>
          </w:p>
        </w:tc>
        <w:tc>
          <w:tcPr>
            <w:tcW w:w="1029" w:type="dxa"/>
            <w:gridSpan w:val="2"/>
            <w:vMerge w:val="restart"/>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2"/>
              <w:rPr>
                <w:rFonts w:ascii="Times New Roman"/>
                <w:sz w:val="18"/>
              </w:rPr>
            </w:pPr>
          </w:p>
          <w:p>
            <w:pPr>
              <w:pStyle w:val="13"/>
              <w:spacing w:before="1" w:line="244" w:lineRule="auto"/>
              <w:ind w:left="251" w:right="136" w:hanging="106"/>
              <w:rPr>
                <w:sz w:val="21"/>
              </w:rPr>
            </w:pPr>
            <w:r>
              <w:rPr>
                <w:sz w:val="21"/>
              </w:rPr>
              <w:t>技术建议书</w:t>
            </w:r>
          </w:p>
        </w:tc>
        <w:tc>
          <w:tcPr>
            <w:tcW w:w="896" w:type="dxa"/>
            <w:vMerge w:val="restart"/>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116"/>
              <w:ind w:left="249"/>
              <w:rPr>
                <w:sz w:val="21"/>
              </w:rPr>
            </w:pPr>
            <w:r>
              <w:rPr>
                <w:sz w:val="21"/>
              </w:rPr>
              <w:t>35 分</w:t>
            </w:r>
          </w:p>
        </w:tc>
        <w:tc>
          <w:tcPr>
            <w:tcW w:w="1857" w:type="dxa"/>
            <w:gridSpan w:val="2"/>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116" w:line="242" w:lineRule="auto"/>
              <w:ind w:left="178" w:right="170"/>
              <w:rPr>
                <w:sz w:val="21"/>
              </w:rPr>
            </w:pPr>
            <w:r>
              <w:rPr>
                <w:sz w:val="21"/>
              </w:rPr>
              <w:t>监理大纲（或监理方案）和措施</w:t>
            </w:r>
          </w:p>
        </w:tc>
        <w:tc>
          <w:tcPr>
            <w:tcW w:w="1439" w:type="dxa"/>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9"/>
              <w:rPr>
                <w:rFonts w:ascii="Times New Roman"/>
                <w:sz w:val="21"/>
              </w:rPr>
            </w:pPr>
          </w:p>
          <w:p>
            <w:pPr>
              <w:pStyle w:val="13"/>
              <w:ind w:left="425" w:right="417"/>
              <w:jc w:val="center"/>
              <w:rPr>
                <w:sz w:val="21"/>
              </w:rPr>
            </w:pPr>
            <w:r>
              <w:rPr>
                <w:sz w:val="21"/>
              </w:rPr>
              <w:t>25 分</w:t>
            </w:r>
          </w:p>
        </w:tc>
        <w:tc>
          <w:tcPr>
            <w:tcW w:w="3021" w:type="dxa"/>
          </w:tcPr>
          <w:p>
            <w:pPr>
              <w:pStyle w:val="13"/>
              <w:spacing w:before="10"/>
              <w:rPr>
                <w:rFonts w:ascii="Times New Roman"/>
                <w:sz w:val="18"/>
              </w:rPr>
            </w:pPr>
          </w:p>
          <w:p>
            <w:pPr>
              <w:pStyle w:val="13"/>
              <w:numPr>
                <w:ilvl w:val="0"/>
                <w:numId w:val="6"/>
              </w:numPr>
              <w:tabs>
                <w:tab w:val="left" w:pos="633"/>
              </w:tabs>
              <w:spacing w:before="0" w:after="0" w:line="240" w:lineRule="auto"/>
              <w:ind w:left="632" w:right="0" w:hanging="525"/>
              <w:jc w:val="left"/>
              <w:rPr>
                <w:sz w:val="21"/>
              </w:rPr>
            </w:pPr>
            <w:r>
              <w:rPr>
                <w:sz w:val="21"/>
              </w:rPr>
              <w:t>监理大纲（或监理方</w:t>
            </w:r>
          </w:p>
          <w:p>
            <w:pPr>
              <w:pStyle w:val="13"/>
              <w:spacing w:before="31" w:line="266" w:lineRule="auto"/>
              <w:ind w:left="108" w:right="126"/>
              <w:jc w:val="both"/>
              <w:rPr>
                <w:sz w:val="21"/>
              </w:rPr>
            </w:pPr>
            <w:r>
              <w:rPr>
                <w:sz w:val="21"/>
              </w:rPr>
              <w:t>案）和措施内容齐全、程序规范、措施得力、计划合理，且能针对本工程特点者得</w:t>
            </w:r>
            <w:r>
              <w:rPr>
                <w:rFonts w:hint="eastAsia" w:ascii="宋体" w:hAnsi="宋体" w:eastAsia="宋体" w:cs="宋体"/>
                <w:sz w:val="21"/>
              </w:rPr>
              <w:t xml:space="preserve"> 20-25 </w:t>
            </w:r>
            <w:r>
              <w:rPr>
                <w:sz w:val="21"/>
              </w:rPr>
              <w:t>分</w:t>
            </w:r>
          </w:p>
          <w:p>
            <w:pPr>
              <w:pStyle w:val="13"/>
              <w:numPr>
                <w:ilvl w:val="0"/>
                <w:numId w:val="6"/>
              </w:numPr>
              <w:tabs>
                <w:tab w:val="left" w:pos="633"/>
              </w:tabs>
              <w:spacing w:before="5" w:after="0" w:line="240" w:lineRule="auto"/>
              <w:ind w:left="632" w:right="0" w:hanging="525"/>
              <w:jc w:val="left"/>
              <w:rPr>
                <w:sz w:val="21"/>
              </w:rPr>
            </w:pPr>
            <w:r>
              <w:rPr>
                <w:sz w:val="21"/>
              </w:rPr>
              <w:t>监理大纲（或监理方</w:t>
            </w:r>
          </w:p>
          <w:p>
            <w:pPr>
              <w:pStyle w:val="13"/>
              <w:spacing w:before="31" w:line="266" w:lineRule="auto"/>
              <w:ind w:left="108" w:right="126"/>
              <w:jc w:val="both"/>
              <w:rPr>
                <w:sz w:val="21"/>
              </w:rPr>
            </w:pPr>
            <w:r>
              <w:rPr>
                <w:rFonts w:hint="eastAsia"/>
                <w:sz w:val="21"/>
              </w:rPr>
              <w:t>案）和措施内容齐全、程序规范，</w:t>
            </w:r>
            <w:r>
              <w:rPr>
                <w:rFonts w:hint="eastAsia" w:ascii="宋体" w:hAnsi="宋体" w:eastAsia="宋体" w:cs="宋体"/>
                <w:sz w:val="21"/>
              </w:rPr>
              <w:t>但措施及计划安排一般者得 15-20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1" w:hRule="atLeast"/>
        </w:trPr>
        <w:tc>
          <w:tcPr>
            <w:tcW w:w="1075" w:type="dxa"/>
            <w:vMerge w:val="continue"/>
            <w:tcBorders>
              <w:top w:val="nil"/>
            </w:tcBorders>
          </w:tcPr>
          <w:p>
            <w:pPr>
              <w:rPr>
                <w:sz w:val="2"/>
                <w:szCs w:val="2"/>
              </w:rPr>
            </w:pPr>
          </w:p>
        </w:tc>
        <w:tc>
          <w:tcPr>
            <w:tcW w:w="1029" w:type="dxa"/>
            <w:gridSpan w:val="2"/>
            <w:vMerge w:val="continue"/>
            <w:tcBorders>
              <w:top w:val="nil"/>
            </w:tcBorders>
          </w:tcPr>
          <w:p>
            <w:pPr>
              <w:rPr>
                <w:sz w:val="2"/>
                <w:szCs w:val="2"/>
              </w:rPr>
            </w:pPr>
          </w:p>
        </w:tc>
        <w:tc>
          <w:tcPr>
            <w:tcW w:w="896" w:type="dxa"/>
            <w:vMerge w:val="continue"/>
            <w:tcBorders>
              <w:top w:val="nil"/>
            </w:tcBorders>
          </w:tcPr>
          <w:p>
            <w:pPr>
              <w:rPr>
                <w:sz w:val="2"/>
                <w:szCs w:val="2"/>
              </w:rPr>
            </w:pPr>
          </w:p>
        </w:tc>
        <w:tc>
          <w:tcPr>
            <w:tcW w:w="1857" w:type="dxa"/>
            <w:gridSpan w:val="2"/>
          </w:tcPr>
          <w:p>
            <w:pPr>
              <w:pStyle w:val="13"/>
              <w:rPr>
                <w:rFonts w:ascii="Times New Roman"/>
                <w:sz w:val="20"/>
              </w:rPr>
            </w:pPr>
          </w:p>
          <w:p>
            <w:pPr>
              <w:pStyle w:val="13"/>
              <w:spacing w:before="9"/>
              <w:rPr>
                <w:rFonts w:ascii="Times New Roman"/>
                <w:sz w:val="19"/>
              </w:rPr>
            </w:pPr>
          </w:p>
          <w:p>
            <w:pPr>
              <w:pStyle w:val="13"/>
              <w:spacing w:line="242" w:lineRule="auto"/>
              <w:ind w:left="178" w:right="170"/>
              <w:jc w:val="center"/>
              <w:rPr>
                <w:sz w:val="21"/>
              </w:rPr>
            </w:pPr>
            <w:r>
              <w:rPr>
                <w:sz w:val="21"/>
              </w:rPr>
              <w:t>本工程监理工作的重点与难点分析</w:t>
            </w:r>
          </w:p>
        </w:tc>
        <w:tc>
          <w:tcPr>
            <w:tcW w:w="1439" w:type="dxa"/>
          </w:tcPr>
          <w:p>
            <w:pPr>
              <w:pStyle w:val="13"/>
              <w:rPr>
                <w:rFonts w:ascii="Times New Roman"/>
                <w:sz w:val="20"/>
              </w:rPr>
            </w:pPr>
          </w:p>
          <w:p>
            <w:pPr>
              <w:pStyle w:val="13"/>
              <w:rPr>
                <w:rFonts w:ascii="Times New Roman"/>
                <w:sz w:val="20"/>
              </w:rPr>
            </w:pPr>
          </w:p>
          <w:p>
            <w:pPr>
              <w:pStyle w:val="13"/>
              <w:spacing w:before="4"/>
              <w:rPr>
                <w:rFonts w:ascii="Times New Roman"/>
                <w:sz w:val="23"/>
              </w:rPr>
            </w:pPr>
          </w:p>
          <w:p>
            <w:pPr>
              <w:pStyle w:val="13"/>
              <w:spacing w:before="1"/>
              <w:ind w:left="425" w:right="417"/>
              <w:jc w:val="center"/>
              <w:rPr>
                <w:sz w:val="21"/>
              </w:rPr>
            </w:pPr>
            <w:r>
              <w:rPr>
                <w:sz w:val="21"/>
              </w:rPr>
              <w:t>6 分</w:t>
            </w:r>
          </w:p>
        </w:tc>
        <w:tc>
          <w:tcPr>
            <w:tcW w:w="3021" w:type="dxa"/>
          </w:tcPr>
          <w:p>
            <w:pPr>
              <w:pStyle w:val="13"/>
              <w:spacing w:before="7"/>
              <w:rPr>
                <w:rFonts w:ascii="Times New Roman"/>
                <w:sz w:val="25"/>
              </w:rPr>
            </w:pPr>
          </w:p>
          <w:p>
            <w:pPr>
              <w:pStyle w:val="13"/>
              <w:spacing w:line="266" w:lineRule="auto"/>
              <w:ind w:left="108" w:right="126"/>
              <w:jc w:val="both"/>
              <w:rPr>
                <w:sz w:val="21"/>
              </w:rPr>
            </w:pPr>
            <w:r>
              <w:rPr>
                <w:sz w:val="21"/>
              </w:rPr>
              <w:t>根据投标人对本工程监理工作的重点与难点分析阐述，合理得 5.0-6.0 分</w:t>
            </w:r>
          </w:p>
          <w:p>
            <w:pPr>
              <w:pStyle w:val="13"/>
              <w:spacing w:before="4"/>
              <w:ind w:left="108"/>
              <w:jc w:val="both"/>
              <w:rPr>
                <w:sz w:val="21"/>
              </w:rPr>
            </w:pPr>
            <w:r>
              <w:rPr>
                <w:rFonts w:hint="eastAsia"/>
                <w:sz w:val="21"/>
                <w:lang w:eastAsia="zh-CN"/>
              </w:rPr>
              <w:t>一般</w:t>
            </w:r>
            <w:r>
              <w:rPr>
                <w:sz w:val="21"/>
              </w:rPr>
              <w:t xml:space="preserve"> 4.0-5.0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1075" w:type="dxa"/>
            <w:vMerge w:val="continue"/>
            <w:tcBorders>
              <w:top w:val="nil"/>
            </w:tcBorders>
          </w:tcPr>
          <w:p>
            <w:pPr>
              <w:rPr>
                <w:sz w:val="2"/>
                <w:szCs w:val="2"/>
              </w:rPr>
            </w:pPr>
          </w:p>
        </w:tc>
        <w:tc>
          <w:tcPr>
            <w:tcW w:w="1029" w:type="dxa"/>
            <w:gridSpan w:val="2"/>
            <w:vMerge w:val="continue"/>
            <w:tcBorders>
              <w:top w:val="nil"/>
            </w:tcBorders>
          </w:tcPr>
          <w:p>
            <w:pPr>
              <w:rPr>
                <w:sz w:val="2"/>
                <w:szCs w:val="2"/>
              </w:rPr>
            </w:pPr>
          </w:p>
        </w:tc>
        <w:tc>
          <w:tcPr>
            <w:tcW w:w="896" w:type="dxa"/>
            <w:vMerge w:val="continue"/>
            <w:tcBorders>
              <w:top w:val="nil"/>
            </w:tcBorders>
          </w:tcPr>
          <w:p>
            <w:pPr>
              <w:rPr>
                <w:sz w:val="2"/>
                <w:szCs w:val="2"/>
              </w:rPr>
            </w:pPr>
          </w:p>
        </w:tc>
        <w:tc>
          <w:tcPr>
            <w:tcW w:w="1857" w:type="dxa"/>
            <w:gridSpan w:val="2"/>
          </w:tcPr>
          <w:p>
            <w:pPr>
              <w:pStyle w:val="13"/>
              <w:rPr>
                <w:rFonts w:ascii="Times New Roman"/>
                <w:sz w:val="20"/>
              </w:rPr>
            </w:pPr>
          </w:p>
          <w:p>
            <w:pPr>
              <w:pStyle w:val="13"/>
              <w:spacing w:before="4"/>
              <w:rPr>
                <w:rFonts w:ascii="Times New Roman"/>
                <w:sz w:val="23"/>
              </w:rPr>
            </w:pPr>
          </w:p>
          <w:p>
            <w:pPr>
              <w:pStyle w:val="13"/>
              <w:ind w:left="178"/>
              <w:rPr>
                <w:sz w:val="21"/>
              </w:rPr>
            </w:pPr>
            <w:r>
              <w:rPr>
                <w:sz w:val="21"/>
              </w:rPr>
              <w:t>对本工程的建议</w:t>
            </w:r>
          </w:p>
        </w:tc>
        <w:tc>
          <w:tcPr>
            <w:tcW w:w="1439" w:type="dxa"/>
          </w:tcPr>
          <w:p>
            <w:pPr>
              <w:pStyle w:val="13"/>
              <w:rPr>
                <w:rFonts w:ascii="Times New Roman"/>
                <w:sz w:val="20"/>
              </w:rPr>
            </w:pPr>
          </w:p>
          <w:p>
            <w:pPr>
              <w:pStyle w:val="13"/>
              <w:spacing w:before="3"/>
              <w:rPr>
                <w:rFonts w:ascii="Times New Roman"/>
                <w:sz w:val="20"/>
              </w:rPr>
            </w:pPr>
          </w:p>
          <w:p>
            <w:pPr>
              <w:pStyle w:val="13"/>
              <w:ind w:left="425" w:right="417"/>
              <w:jc w:val="center"/>
              <w:rPr>
                <w:sz w:val="21"/>
              </w:rPr>
            </w:pPr>
            <w:r>
              <w:rPr>
                <w:sz w:val="21"/>
              </w:rPr>
              <w:t>4 分</w:t>
            </w:r>
          </w:p>
        </w:tc>
        <w:tc>
          <w:tcPr>
            <w:tcW w:w="3021" w:type="dxa"/>
          </w:tcPr>
          <w:p>
            <w:pPr>
              <w:pStyle w:val="13"/>
              <w:spacing w:before="31" w:line="266" w:lineRule="auto"/>
              <w:ind w:left="108" w:right="126"/>
              <w:rPr>
                <w:sz w:val="21"/>
              </w:rPr>
            </w:pPr>
            <w:r>
              <w:rPr>
                <w:sz w:val="21"/>
              </w:rPr>
              <w:t>根据投标人对本工程的建议阐述，</w:t>
            </w:r>
          </w:p>
          <w:p>
            <w:pPr>
              <w:pStyle w:val="13"/>
              <w:spacing w:before="2"/>
              <w:ind w:left="108"/>
              <w:rPr>
                <w:sz w:val="21"/>
              </w:rPr>
            </w:pPr>
            <w:r>
              <w:rPr>
                <w:sz w:val="21"/>
              </w:rPr>
              <w:t>合理得 3.5-4.0</w:t>
            </w:r>
          </w:p>
          <w:p>
            <w:pPr>
              <w:pStyle w:val="13"/>
              <w:spacing w:before="31" w:line="249" w:lineRule="exact"/>
              <w:ind w:left="108"/>
              <w:rPr>
                <w:sz w:val="21"/>
              </w:rPr>
            </w:pPr>
            <w:r>
              <w:rPr>
                <w:sz w:val="21"/>
              </w:rPr>
              <w:t>较合理得 2.5-3.5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4" w:hRule="atLeast"/>
        </w:trPr>
        <w:tc>
          <w:tcPr>
            <w:tcW w:w="1075" w:type="dxa"/>
          </w:tcPr>
          <w:p>
            <w:pPr>
              <w:pStyle w:val="13"/>
              <w:rPr>
                <w:rFonts w:ascii="Times New Roman"/>
                <w:sz w:val="20"/>
              </w:rPr>
            </w:pPr>
          </w:p>
          <w:p>
            <w:pPr>
              <w:pStyle w:val="13"/>
              <w:rPr>
                <w:rFonts w:ascii="Times New Roman"/>
                <w:sz w:val="20"/>
              </w:rPr>
            </w:pPr>
          </w:p>
          <w:p>
            <w:pPr>
              <w:pStyle w:val="13"/>
              <w:spacing w:before="2"/>
              <w:rPr>
                <w:rFonts w:ascii="Times New Roman"/>
                <w:sz w:val="29"/>
              </w:rPr>
            </w:pPr>
          </w:p>
          <w:p>
            <w:pPr>
              <w:pStyle w:val="13"/>
              <w:ind w:left="88" w:right="79"/>
              <w:jc w:val="center"/>
              <w:rPr>
                <w:sz w:val="21"/>
              </w:rPr>
            </w:pPr>
            <w:r>
              <w:rPr>
                <w:sz w:val="21"/>
              </w:rPr>
              <w:t>2.2.4(2)</w:t>
            </w:r>
          </w:p>
        </w:tc>
        <w:tc>
          <w:tcPr>
            <w:tcW w:w="1029" w:type="dxa"/>
            <w:gridSpan w:val="2"/>
          </w:tcPr>
          <w:p>
            <w:pPr>
              <w:pStyle w:val="13"/>
              <w:rPr>
                <w:rFonts w:ascii="Times New Roman"/>
                <w:sz w:val="20"/>
              </w:rPr>
            </w:pPr>
          </w:p>
          <w:p>
            <w:pPr>
              <w:pStyle w:val="13"/>
              <w:rPr>
                <w:rFonts w:ascii="Times New Roman"/>
                <w:sz w:val="20"/>
              </w:rPr>
            </w:pPr>
          </w:p>
          <w:p>
            <w:pPr>
              <w:pStyle w:val="13"/>
              <w:spacing w:before="3"/>
              <w:rPr>
                <w:rFonts w:ascii="Times New Roman"/>
                <w:sz w:val="17"/>
              </w:rPr>
            </w:pPr>
          </w:p>
          <w:p>
            <w:pPr>
              <w:pStyle w:val="13"/>
              <w:spacing w:before="1" w:line="244" w:lineRule="auto"/>
              <w:ind w:left="357" w:right="136" w:hanging="212"/>
              <w:rPr>
                <w:sz w:val="21"/>
              </w:rPr>
            </w:pPr>
            <w:r>
              <w:rPr>
                <w:sz w:val="21"/>
              </w:rPr>
              <w:t>主要人员</w:t>
            </w:r>
          </w:p>
        </w:tc>
        <w:tc>
          <w:tcPr>
            <w:tcW w:w="896" w:type="dxa"/>
          </w:tcPr>
          <w:p>
            <w:pPr>
              <w:pStyle w:val="13"/>
              <w:rPr>
                <w:rFonts w:ascii="Times New Roman"/>
                <w:sz w:val="20"/>
              </w:rPr>
            </w:pPr>
          </w:p>
          <w:p>
            <w:pPr>
              <w:pStyle w:val="13"/>
              <w:rPr>
                <w:rFonts w:ascii="Times New Roman"/>
                <w:sz w:val="20"/>
              </w:rPr>
            </w:pPr>
          </w:p>
          <w:p>
            <w:pPr>
              <w:pStyle w:val="13"/>
              <w:spacing w:before="2"/>
              <w:rPr>
                <w:rFonts w:ascii="Times New Roman"/>
                <w:sz w:val="29"/>
              </w:rPr>
            </w:pPr>
          </w:p>
          <w:p>
            <w:pPr>
              <w:pStyle w:val="13"/>
              <w:ind w:left="197" w:right="191"/>
              <w:jc w:val="center"/>
              <w:rPr>
                <w:sz w:val="21"/>
              </w:rPr>
            </w:pPr>
            <w:r>
              <w:rPr>
                <w:sz w:val="21"/>
              </w:rPr>
              <w:t>25 分</w:t>
            </w:r>
          </w:p>
        </w:tc>
        <w:tc>
          <w:tcPr>
            <w:tcW w:w="706" w:type="dxa"/>
          </w:tcPr>
          <w:p>
            <w:pPr>
              <w:pStyle w:val="13"/>
              <w:rPr>
                <w:rFonts w:ascii="Times New Roman"/>
                <w:sz w:val="20"/>
              </w:rPr>
            </w:pPr>
          </w:p>
          <w:p>
            <w:pPr>
              <w:pStyle w:val="13"/>
              <w:spacing w:before="5"/>
              <w:rPr>
                <w:rFonts w:ascii="Times New Roman"/>
                <w:sz w:val="25"/>
              </w:rPr>
            </w:pPr>
          </w:p>
          <w:p>
            <w:pPr>
              <w:pStyle w:val="13"/>
              <w:spacing w:line="242" w:lineRule="auto"/>
              <w:ind w:left="106" w:right="92"/>
              <w:jc w:val="both"/>
              <w:rPr>
                <w:sz w:val="21"/>
              </w:rPr>
            </w:pPr>
            <w:r>
              <w:rPr>
                <w:spacing w:val="-20"/>
                <w:sz w:val="21"/>
              </w:rPr>
              <w:t>总 监理 工</w:t>
            </w:r>
            <w:r>
              <w:rPr>
                <w:spacing w:val="-3"/>
                <w:sz w:val="21"/>
              </w:rPr>
              <w:t>程师</w:t>
            </w:r>
          </w:p>
        </w:tc>
        <w:tc>
          <w:tcPr>
            <w:tcW w:w="5611" w:type="dxa"/>
            <w:gridSpan w:val="3"/>
          </w:tcPr>
          <w:p>
            <w:pPr>
              <w:pStyle w:val="13"/>
              <w:spacing w:before="2"/>
              <w:rPr>
                <w:rFonts w:ascii="Times New Roman"/>
                <w:sz w:val="25"/>
              </w:rPr>
            </w:pPr>
          </w:p>
          <w:p>
            <w:pPr>
              <w:pStyle w:val="13"/>
              <w:ind w:left="106"/>
              <w:rPr>
                <w:sz w:val="21"/>
              </w:rPr>
            </w:pPr>
            <w:r>
              <w:rPr>
                <w:sz w:val="21"/>
              </w:rPr>
              <w:t>满足资格审查最低要求得 15 分，职称为高级工程师及以</w:t>
            </w:r>
          </w:p>
          <w:p>
            <w:pPr>
              <w:pStyle w:val="13"/>
              <w:spacing w:before="91" w:line="321" w:lineRule="auto"/>
              <w:ind w:left="106" w:right="265"/>
              <w:rPr>
                <w:rFonts w:hint="eastAsia" w:eastAsiaTheme="minorEastAsia"/>
                <w:sz w:val="21"/>
                <w:lang w:eastAsia="zh-CN"/>
              </w:rPr>
            </w:pPr>
            <w:r>
              <w:rPr>
                <w:spacing w:val="-18"/>
                <w:sz w:val="21"/>
              </w:rPr>
              <w:t xml:space="preserve">上加 </w:t>
            </w:r>
            <w:r>
              <w:rPr>
                <w:sz w:val="21"/>
              </w:rPr>
              <w:t>2</w:t>
            </w:r>
            <w:r>
              <w:rPr>
                <w:spacing w:val="-18"/>
                <w:sz w:val="21"/>
              </w:rPr>
              <w:t xml:space="preserve"> 分，</w:t>
            </w:r>
            <w:r>
              <w:rPr>
                <w:spacing w:val="-8"/>
                <w:sz w:val="21"/>
              </w:rPr>
              <w:t>类似工程监理业绩</w:t>
            </w:r>
            <w:r>
              <w:rPr>
                <w:spacing w:val="-7"/>
                <w:sz w:val="21"/>
              </w:rPr>
              <w:t xml:space="preserve">每增加一项加 </w:t>
            </w:r>
            <w:r>
              <w:rPr>
                <w:sz w:val="21"/>
              </w:rPr>
              <w:t>2</w:t>
            </w:r>
            <w:r>
              <w:rPr>
                <w:spacing w:val="-17"/>
                <w:sz w:val="21"/>
              </w:rPr>
              <w:t xml:space="preserve"> 分，最多加 </w:t>
            </w:r>
            <w:r>
              <w:rPr>
                <w:sz w:val="21"/>
              </w:rPr>
              <w:t>8</w:t>
            </w:r>
            <w:r>
              <w:rPr>
                <w:spacing w:val="-8"/>
                <w:sz w:val="21"/>
              </w:rPr>
              <w:t xml:space="preserve"> 分</w:t>
            </w:r>
            <w:r>
              <w:rPr>
                <w:rFonts w:hint="eastAsia"/>
                <w:spacing w:val="-8"/>
                <w:sz w:val="21"/>
                <w:lang w:eastAsia="zh-CN"/>
              </w:rPr>
              <w:t>（</w:t>
            </w:r>
            <w:r>
              <w:rPr>
                <w:spacing w:val="-8"/>
                <w:sz w:val="21"/>
              </w:rPr>
              <w:t>以中标通知书或合同协议书或监理项目评定书或业主出具证明材料为准</w:t>
            </w:r>
            <w:r>
              <w:rPr>
                <w:rFonts w:hint="eastAsia"/>
                <w:spacing w:val="-8"/>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trPr>
        <w:tc>
          <w:tcPr>
            <w:tcW w:w="1075" w:type="dxa"/>
          </w:tcPr>
          <w:p>
            <w:pPr>
              <w:pStyle w:val="13"/>
              <w:rPr>
                <w:rFonts w:ascii="Times New Roman"/>
                <w:sz w:val="20"/>
              </w:rPr>
            </w:pPr>
          </w:p>
          <w:p>
            <w:pPr>
              <w:pStyle w:val="13"/>
              <w:spacing w:before="6"/>
              <w:rPr>
                <w:rFonts w:ascii="Times New Roman"/>
                <w:sz w:val="29"/>
              </w:rPr>
            </w:pPr>
          </w:p>
          <w:p>
            <w:pPr>
              <w:pStyle w:val="13"/>
              <w:ind w:left="88" w:right="79"/>
              <w:jc w:val="center"/>
              <w:rPr>
                <w:sz w:val="21"/>
              </w:rPr>
            </w:pPr>
            <w:r>
              <w:rPr>
                <w:sz w:val="21"/>
              </w:rPr>
              <w:t>2.2.4(3)</w:t>
            </w:r>
          </w:p>
        </w:tc>
        <w:tc>
          <w:tcPr>
            <w:tcW w:w="1029" w:type="dxa"/>
            <w:gridSpan w:val="2"/>
          </w:tcPr>
          <w:p>
            <w:pPr>
              <w:pStyle w:val="13"/>
              <w:rPr>
                <w:rFonts w:ascii="Times New Roman"/>
                <w:sz w:val="20"/>
              </w:rPr>
            </w:pPr>
          </w:p>
          <w:p>
            <w:pPr>
              <w:pStyle w:val="13"/>
              <w:spacing w:before="7"/>
              <w:rPr>
                <w:rFonts w:ascii="Times New Roman"/>
                <w:sz w:val="17"/>
              </w:rPr>
            </w:pPr>
          </w:p>
          <w:p>
            <w:pPr>
              <w:pStyle w:val="13"/>
              <w:spacing w:line="242" w:lineRule="auto"/>
              <w:ind w:left="357" w:right="136" w:hanging="212"/>
              <w:rPr>
                <w:sz w:val="21"/>
              </w:rPr>
            </w:pPr>
            <w:r>
              <w:rPr>
                <w:sz w:val="21"/>
              </w:rPr>
              <w:t>技术能力</w:t>
            </w:r>
          </w:p>
        </w:tc>
        <w:tc>
          <w:tcPr>
            <w:tcW w:w="896" w:type="dxa"/>
          </w:tcPr>
          <w:p>
            <w:pPr>
              <w:pStyle w:val="13"/>
              <w:rPr>
                <w:rFonts w:ascii="Times New Roman"/>
                <w:sz w:val="20"/>
              </w:rPr>
            </w:pPr>
          </w:p>
          <w:p>
            <w:pPr>
              <w:pStyle w:val="13"/>
              <w:spacing w:before="6"/>
              <w:rPr>
                <w:rFonts w:ascii="Times New Roman"/>
                <w:sz w:val="29"/>
              </w:rPr>
            </w:pPr>
          </w:p>
          <w:p>
            <w:pPr>
              <w:pStyle w:val="13"/>
              <w:ind w:left="200" w:right="191"/>
              <w:jc w:val="center"/>
              <w:rPr>
                <w:sz w:val="21"/>
              </w:rPr>
            </w:pPr>
            <w:r>
              <w:rPr>
                <w:sz w:val="21"/>
              </w:rPr>
              <w:t>5 分</w:t>
            </w:r>
          </w:p>
        </w:tc>
        <w:tc>
          <w:tcPr>
            <w:tcW w:w="6317" w:type="dxa"/>
            <w:gridSpan w:val="4"/>
          </w:tcPr>
          <w:p>
            <w:pPr>
              <w:pStyle w:val="13"/>
              <w:rPr>
                <w:rFonts w:ascii="Times New Roman"/>
                <w:sz w:val="20"/>
              </w:rPr>
            </w:pPr>
          </w:p>
          <w:p>
            <w:pPr>
              <w:pStyle w:val="13"/>
              <w:spacing w:before="9"/>
              <w:rPr>
                <w:rFonts w:ascii="Times New Roman"/>
                <w:sz w:val="16"/>
              </w:rPr>
            </w:pPr>
          </w:p>
          <w:p>
            <w:pPr>
              <w:pStyle w:val="13"/>
              <w:spacing w:line="321" w:lineRule="auto"/>
              <w:ind w:left="106" w:right="227"/>
              <w:rPr>
                <w:sz w:val="21"/>
              </w:rPr>
            </w:pPr>
            <w:r>
              <w:rPr>
                <w:sz w:val="21"/>
              </w:rPr>
              <w:t>投标人根据项目实际情况配备办公设施及试验、检测设施，应满 足施工监理要求，评标委员会根据合理性自主打分，3-5</w:t>
            </w:r>
            <w:r>
              <w:rPr>
                <w:spacing w:val="-19"/>
                <w:sz w:val="21"/>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1075" w:type="dxa"/>
          </w:tcPr>
          <w:p>
            <w:pPr>
              <w:pStyle w:val="13"/>
              <w:rPr>
                <w:rFonts w:ascii="Times New Roman"/>
                <w:sz w:val="20"/>
              </w:rPr>
            </w:pPr>
          </w:p>
          <w:p>
            <w:pPr>
              <w:pStyle w:val="13"/>
              <w:rPr>
                <w:rFonts w:ascii="Times New Roman"/>
                <w:sz w:val="20"/>
              </w:rPr>
            </w:pPr>
          </w:p>
          <w:p>
            <w:pPr>
              <w:pStyle w:val="13"/>
              <w:spacing w:before="11"/>
              <w:rPr>
                <w:rFonts w:ascii="Times New Roman"/>
                <w:sz w:val="27"/>
              </w:rPr>
            </w:pPr>
          </w:p>
          <w:p>
            <w:pPr>
              <w:pStyle w:val="13"/>
              <w:ind w:left="87" w:right="80"/>
              <w:jc w:val="center"/>
              <w:rPr>
                <w:sz w:val="21"/>
              </w:rPr>
            </w:pPr>
            <w:r>
              <w:rPr>
                <w:sz w:val="21"/>
              </w:rPr>
              <w:t>2.2.4(4)</w:t>
            </w:r>
          </w:p>
        </w:tc>
        <w:tc>
          <w:tcPr>
            <w:tcW w:w="1029" w:type="dxa"/>
            <w:gridSpan w:val="2"/>
          </w:tcPr>
          <w:p>
            <w:pPr>
              <w:pStyle w:val="13"/>
              <w:rPr>
                <w:rFonts w:ascii="Times New Roman"/>
                <w:sz w:val="20"/>
              </w:rPr>
            </w:pPr>
          </w:p>
          <w:p>
            <w:pPr>
              <w:pStyle w:val="13"/>
              <w:rPr>
                <w:rFonts w:ascii="Times New Roman"/>
                <w:sz w:val="20"/>
              </w:rPr>
            </w:pPr>
          </w:p>
          <w:p>
            <w:pPr>
              <w:pStyle w:val="13"/>
              <w:spacing w:before="11"/>
              <w:rPr>
                <w:rFonts w:ascii="Times New Roman"/>
                <w:sz w:val="27"/>
              </w:rPr>
            </w:pPr>
          </w:p>
          <w:p>
            <w:pPr>
              <w:pStyle w:val="13"/>
              <w:ind w:left="146"/>
              <w:rPr>
                <w:sz w:val="21"/>
              </w:rPr>
            </w:pPr>
            <w:r>
              <w:rPr>
                <w:sz w:val="21"/>
              </w:rPr>
              <w:t>评标价</w:t>
            </w:r>
          </w:p>
        </w:tc>
        <w:tc>
          <w:tcPr>
            <w:tcW w:w="896" w:type="dxa"/>
          </w:tcPr>
          <w:p>
            <w:pPr>
              <w:pStyle w:val="13"/>
              <w:rPr>
                <w:rFonts w:ascii="Times New Roman"/>
                <w:sz w:val="20"/>
              </w:rPr>
            </w:pPr>
          </w:p>
          <w:p>
            <w:pPr>
              <w:pStyle w:val="13"/>
              <w:rPr>
                <w:rFonts w:ascii="Times New Roman"/>
                <w:sz w:val="20"/>
              </w:rPr>
            </w:pPr>
          </w:p>
          <w:p>
            <w:pPr>
              <w:pStyle w:val="13"/>
              <w:spacing w:before="11"/>
              <w:rPr>
                <w:rFonts w:ascii="Times New Roman"/>
                <w:sz w:val="27"/>
              </w:rPr>
            </w:pPr>
          </w:p>
          <w:p>
            <w:pPr>
              <w:pStyle w:val="13"/>
              <w:ind w:left="197" w:right="191"/>
              <w:jc w:val="center"/>
              <w:rPr>
                <w:sz w:val="21"/>
              </w:rPr>
            </w:pPr>
            <w:r>
              <w:rPr>
                <w:sz w:val="21"/>
              </w:rPr>
              <w:t>10 分</w:t>
            </w:r>
          </w:p>
        </w:tc>
        <w:tc>
          <w:tcPr>
            <w:tcW w:w="6317" w:type="dxa"/>
            <w:gridSpan w:val="4"/>
          </w:tcPr>
          <w:p>
            <w:pPr>
              <w:pStyle w:val="13"/>
              <w:spacing w:before="30"/>
              <w:ind w:left="106"/>
              <w:rPr>
                <w:sz w:val="21"/>
              </w:rPr>
            </w:pPr>
            <w:r>
              <w:rPr>
                <w:sz w:val="21"/>
              </w:rPr>
              <w:t>评标价得分计算公式示例：</w:t>
            </w:r>
          </w:p>
          <w:p>
            <w:pPr>
              <w:pStyle w:val="13"/>
              <w:spacing w:before="30"/>
              <w:ind w:left="106"/>
              <w:rPr>
                <w:sz w:val="21"/>
              </w:rPr>
            </w:pPr>
            <w:r>
              <w:rPr>
                <w:sz w:val="21"/>
              </w:rPr>
              <w:t>如果投标人的评标价&gt;评标基准价，则评标价得分＝10－偏差率×100×0.5；</w:t>
            </w:r>
          </w:p>
          <w:p>
            <w:pPr>
              <w:pStyle w:val="13"/>
              <w:spacing w:before="30"/>
              <w:ind w:left="106"/>
              <w:rPr>
                <w:sz w:val="21"/>
              </w:rPr>
            </w:pPr>
            <w:r>
              <w:rPr>
                <w:sz w:val="21"/>
              </w:rPr>
              <w:t>如果投标人的评标价≤评标基准价，则评标价得分＝10＋偏</w:t>
            </w:r>
          </w:p>
          <w:p>
            <w:pPr>
              <w:pStyle w:val="13"/>
              <w:spacing w:before="30"/>
              <w:ind w:left="106"/>
              <w:rPr>
                <w:sz w:val="21"/>
              </w:rPr>
            </w:pPr>
            <w:r>
              <w:rPr>
                <w:sz w:val="21"/>
              </w:rPr>
              <w:t>差率×100×0.1。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atLeast"/>
        </w:trPr>
        <w:tc>
          <w:tcPr>
            <w:tcW w:w="1075" w:type="dxa"/>
            <w:vMerge w:val="restart"/>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125"/>
              <w:ind w:left="108"/>
              <w:rPr>
                <w:sz w:val="21"/>
              </w:rPr>
            </w:pPr>
            <w:r>
              <w:rPr>
                <w:sz w:val="21"/>
              </w:rPr>
              <w:t>2.2.4(5)</w:t>
            </w:r>
          </w:p>
        </w:tc>
        <w:tc>
          <w:tcPr>
            <w:tcW w:w="505" w:type="dxa"/>
            <w:vMerge w:val="restart"/>
          </w:tcPr>
          <w:p>
            <w:pPr>
              <w:pStyle w:val="13"/>
              <w:rPr>
                <w:rFonts w:ascii="Times New Roman"/>
                <w:sz w:val="20"/>
              </w:rPr>
            </w:pPr>
          </w:p>
          <w:p>
            <w:pPr>
              <w:pStyle w:val="13"/>
              <w:rPr>
                <w:rFonts w:ascii="Times New Roman"/>
                <w:sz w:val="20"/>
              </w:rPr>
            </w:pPr>
          </w:p>
          <w:p>
            <w:pPr>
              <w:pStyle w:val="13"/>
              <w:spacing w:before="177" w:line="242" w:lineRule="auto"/>
              <w:ind w:left="143" w:right="133"/>
              <w:jc w:val="both"/>
              <w:rPr>
                <w:sz w:val="21"/>
              </w:rPr>
            </w:pPr>
            <w:r>
              <w:rPr>
                <w:sz w:val="21"/>
              </w:rPr>
              <w:t>其他因素</w:t>
            </w:r>
          </w:p>
        </w:tc>
        <w:tc>
          <w:tcPr>
            <w:tcW w:w="524" w:type="dxa"/>
          </w:tcPr>
          <w:p>
            <w:pPr>
              <w:pStyle w:val="13"/>
              <w:rPr>
                <w:rFonts w:ascii="Times New Roman"/>
                <w:sz w:val="20"/>
              </w:rPr>
            </w:pPr>
          </w:p>
          <w:p>
            <w:pPr>
              <w:pStyle w:val="13"/>
              <w:spacing w:before="128" w:line="244" w:lineRule="auto"/>
              <w:ind w:left="106" w:right="98"/>
              <w:rPr>
                <w:sz w:val="21"/>
              </w:rPr>
            </w:pPr>
            <w:r>
              <w:rPr>
                <w:sz w:val="21"/>
              </w:rPr>
              <w:t>业绩</w:t>
            </w:r>
          </w:p>
        </w:tc>
        <w:tc>
          <w:tcPr>
            <w:tcW w:w="896" w:type="dxa"/>
          </w:tcPr>
          <w:p>
            <w:pPr>
              <w:pStyle w:val="13"/>
              <w:spacing w:before="31"/>
              <w:ind w:left="106"/>
              <w:rPr>
                <w:sz w:val="21"/>
              </w:rPr>
            </w:pPr>
          </w:p>
          <w:p>
            <w:pPr>
              <w:pStyle w:val="13"/>
              <w:spacing w:before="31"/>
              <w:ind w:left="106"/>
              <w:rPr>
                <w:sz w:val="21"/>
              </w:rPr>
            </w:pPr>
          </w:p>
          <w:p>
            <w:pPr>
              <w:pStyle w:val="13"/>
              <w:spacing w:before="31"/>
              <w:ind w:left="106"/>
              <w:jc w:val="center"/>
              <w:rPr>
                <w:sz w:val="21"/>
              </w:rPr>
            </w:pPr>
            <w:r>
              <w:rPr>
                <w:sz w:val="21"/>
              </w:rPr>
              <w:t>20 分</w:t>
            </w:r>
          </w:p>
        </w:tc>
        <w:tc>
          <w:tcPr>
            <w:tcW w:w="6317" w:type="dxa"/>
            <w:gridSpan w:val="4"/>
          </w:tcPr>
          <w:p>
            <w:pPr>
              <w:pStyle w:val="13"/>
              <w:spacing w:before="31"/>
              <w:ind w:left="106"/>
              <w:rPr>
                <w:sz w:val="21"/>
              </w:rPr>
            </w:pPr>
            <w:r>
              <w:rPr>
                <w:sz w:val="21"/>
              </w:rPr>
              <w:t xml:space="preserve">满足资格审查最低要求得 </w:t>
            </w:r>
            <w:r>
              <w:rPr>
                <w:rFonts w:hint="eastAsia"/>
                <w:sz w:val="21"/>
                <w:lang w:val="en-US" w:eastAsia="zh-CN"/>
              </w:rPr>
              <w:t>14</w:t>
            </w:r>
            <w:r>
              <w:rPr>
                <w:sz w:val="21"/>
              </w:rPr>
              <w:t>分</w:t>
            </w:r>
            <w:r>
              <w:rPr>
                <w:rFonts w:hint="eastAsia"/>
                <w:sz w:val="21"/>
                <w:lang w:eastAsia="zh-CN"/>
              </w:rPr>
              <w:t>，</w:t>
            </w:r>
            <w:r>
              <w:rPr>
                <w:sz w:val="21"/>
              </w:rPr>
              <w:t>201</w:t>
            </w:r>
            <w:r>
              <w:rPr>
                <w:rFonts w:hint="eastAsia"/>
                <w:sz w:val="21"/>
                <w:lang w:val="en-US" w:eastAsia="zh-CN"/>
              </w:rPr>
              <w:t>9</w:t>
            </w:r>
            <w:r>
              <w:rPr>
                <w:sz w:val="21"/>
              </w:rPr>
              <w:t xml:space="preserve"> 年至今完成过类似工程监理业绩，每增加一项类似业绩加 </w:t>
            </w:r>
            <w:r>
              <w:rPr>
                <w:rFonts w:hint="eastAsia"/>
                <w:sz w:val="21"/>
                <w:lang w:val="en-US" w:eastAsia="zh-CN"/>
              </w:rPr>
              <w:t>2</w:t>
            </w:r>
            <w:r>
              <w:rPr>
                <w:sz w:val="21"/>
              </w:rPr>
              <w:t>分，</w:t>
            </w:r>
            <w:r>
              <w:rPr>
                <w:rFonts w:hint="eastAsia"/>
                <w:sz w:val="21"/>
                <w:lang w:eastAsia="zh-CN"/>
              </w:rPr>
              <w:t>最多加</w:t>
            </w:r>
            <w:r>
              <w:rPr>
                <w:rFonts w:hint="eastAsia"/>
                <w:sz w:val="21"/>
                <w:lang w:val="en-US" w:eastAsia="zh-CN"/>
              </w:rPr>
              <w:t>6分，</w:t>
            </w:r>
            <w:r>
              <w:rPr>
                <w:sz w:val="21"/>
              </w:rPr>
              <w:t>满分 20 分。</w:t>
            </w:r>
          </w:p>
          <w:p>
            <w:pPr>
              <w:pStyle w:val="13"/>
              <w:spacing w:before="31"/>
              <w:ind w:left="106"/>
              <w:rPr>
                <w:sz w:val="21"/>
              </w:rPr>
            </w:pPr>
            <w:r>
              <w:rPr>
                <w:sz w:val="21"/>
              </w:rPr>
              <w:t>以中标通知书、合同协议书或监理项目评定书业主出具的证明材料为准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7" w:hRule="atLeast"/>
        </w:trPr>
        <w:tc>
          <w:tcPr>
            <w:tcW w:w="1075" w:type="dxa"/>
            <w:vMerge w:val="continue"/>
            <w:tcBorders>
              <w:top w:val="nil"/>
            </w:tcBorders>
          </w:tcPr>
          <w:p>
            <w:pPr>
              <w:rPr>
                <w:sz w:val="2"/>
                <w:szCs w:val="2"/>
              </w:rPr>
            </w:pPr>
          </w:p>
        </w:tc>
        <w:tc>
          <w:tcPr>
            <w:tcW w:w="505" w:type="dxa"/>
            <w:vMerge w:val="continue"/>
            <w:tcBorders>
              <w:top w:val="nil"/>
            </w:tcBorders>
          </w:tcPr>
          <w:p>
            <w:pPr>
              <w:rPr>
                <w:sz w:val="2"/>
                <w:szCs w:val="2"/>
              </w:rPr>
            </w:pPr>
          </w:p>
        </w:tc>
        <w:tc>
          <w:tcPr>
            <w:tcW w:w="524" w:type="dxa"/>
          </w:tcPr>
          <w:p>
            <w:pPr>
              <w:pStyle w:val="13"/>
              <w:spacing w:before="2" w:line="242" w:lineRule="auto"/>
              <w:ind w:left="106" w:right="98"/>
              <w:jc w:val="both"/>
              <w:rPr>
                <w:sz w:val="21"/>
              </w:rPr>
            </w:pPr>
            <w:r>
              <w:rPr>
                <w:sz w:val="21"/>
              </w:rPr>
              <w:t>覆约信</w:t>
            </w:r>
          </w:p>
          <w:p>
            <w:pPr>
              <w:pStyle w:val="13"/>
              <w:spacing w:line="252" w:lineRule="exact"/>
              <w:ind w:left="106"/>
              <w:rPr>
                <w:sz w:val="21"/>
              </w:rPr>
            </w:pPr>
            <w:r>
              <w:rPr>
                <w:w w:val="99"/>
                <w:sz w:val="21"/>
              </w:rPr>
              <w:t>誉</w:t>
            </w:r>
          </w:p>
        </w:tc>
        <w:tc>
          <w:tcPr>
            <w:tcW w:w="896" w:type="dxa"/>
          </w:tcPr>
          <w:p>
            <w:pPr>
              <w:pStyle w:val="13"/>
              <w:rPr>
                <w:rFonts w:ascii="Times New Roman"/>
                <w:sz w:val="20"/>
              </w:rPr>
            </w:pPr>
          </w:p>
          <w:p>
            <w:pPr>
              <w:pStyle w:val="13"/>
              <w:spacing w:before="180"/>
              <w:ind w:left="200" w:right="191"/>
              <w:jc w:val="center"/>
              <w:rPr>
                <w:sz w:val="21"/>
              </w:rPr>
            </w:pPr>
            <w:r>
              <w:rPr>
                <w:sz w:val="21"/>
              </w:rPr>
              <w:t>5 分</w:t>
            </w:r>
          </w:p>
        </w:tc>
        <w:tc>
          <w:tcPr>
            <w:tcW w:w="6317" w:type="dxa"/>
            <w:gridSpan w:val="4"/>
          </w:tcPr>
          <w:p>
            <w:pPr>
              <w:pStyle w:val="13"/>
              <w:spacing w:before="8"/>
              <w:rPr>
                <w:rFonts w:ascii="Times New Roman"/>
                <w:sz w:val="23"/>
              </w:rPr>
            </w:pPr>
          </w:p>
          <w:p>
            <w:pPr>
              <w:pStyle w:val="13"/>
              <w:ind w:left="106"/>
              <w:rPr>
                <w:sz w:val="21"/>
              </w:rPr>
            </w:pPr>
            <w:r>
              <w:rPr>
                <w:sz w:val="21"/>
              </w:rPr>
              <w:t>满足第二章投标人须知附录 3 信誉最低要求得 3 分，获得省级及</w:t>
            </w:r>
          </w:p>
          <w:p>
            <w:pPr>
              <w:pStyle w:val="13"/>
              <w:spacing w:before="31"/>
              <w:ind w:left="106"/>
              <w:rPr>
                <w:sz w:val="21"/>
              </w:rPr>
            </w:pPr>
            <w:r>
              <w:rPr>
                <w:sz w:val="21"/>
              </w:rPr>
              <w:t>以上部门奖励加分，每一项加 1 分，最多加 2 分</w:t>
            </w:r>
          </w:p>
        </w:tc>
      </w:tr>
    </w:tbl>
    <w:p>
      <w:pPr>
        <w:numPr>
          <w:ilvl w:val="0"/>
          <w:numId w:val="7"/>
        </w:numPr>
        <w:tabs>
          <w:tab w:val="left" w:pos="688"/>
        </w:tabs>
        <w:spacing w:before="89"/>
        <w:ind w:left="687" w:right="0" w:hanging="244"/>
        <w:jc w:val="left"/>
        <w:rPr>
          <w:b/>
          <w:sz w:val="22"/>
        </w:rPr>
      </w:pPr>
      <w:r>
        <w:rPr>
          <w:b/>
          <w:sz w:val="24"/>
        </w:rPr>
        <w:t>评标方法</w:t>
      </w:r>
    </w:p>
    <w:p>
      <w:pPr>
        <w:pStyle w:val="6"/>
        <w:spacing w:before="52" w:line="312" w:lineRule="auto"/>
        <w:ind w:left="424" w:right="298" w:firstLine="484"/>
        <w:rPr>
          <w:sz w:val="24"/>
          <w:szCs w:val="24"/>
        </w:rPr>
      </w:pPr>
      <w:r>
        <w:rPr>
          <w:sz w:val="24"/>
          <w:szCs w:val="24"/>
        </w:rPr>
        <w:t>本次评标采用综合评估法。评标委员会对满足招标文件实质性要求的投标文件， 按照本章第 2.2 款规定的评分标准进行打分，并按得分由高到低顺序推荐中标候选人，但投标报价低于其成本的除外。综合评分相等时，评标委员会应按照评标办法前附表规定的优先次序推荐中标候选人。</w:t>
      </w:r>
    </w:p>
    <w:p>
      <w:pPr>
        <w:numPr>
          <w:ilvl w:val="0"/>
          <w:numId w:val="7"/>
        </w:numPr>
        <w:tabs>
          <w:tab w:val="left" w:pos="673"/>
        </w:tabs>
        <w:spacing w:before="0" w:line="307" w:lineRule="exact"/>
        <w:ind w:left="673" w:right="0" w:hanging="242"/>
        <w:jc w:val="left"/>
        <w:rPr>
          <w:b/>
          <w:sz w:val="22"/>
        </w:rPr>
      </w:pPr>
      <w:r>
        <w:rPr>
          <w:b/>
          <w:sz w:val="24"/>
        </w:rPr>
        <w:t>评审标准</w:t>
      </w:r>
    </w:p>
    <w:p>
      <w:pPr>
        <w:pStyle w:val="16"/>
        <w:numPr>
          <w:ilvl w:val="1"/>
          <w:numId w:val="7"/>
        </w:numPr>
        <w:tabs>
          <w:tab w:val="left" w:pos="912"/>
        </w:tabs>
        <w:spacing w:before="93" w:after="0" w:line="240" w:lineRule="auto"/>
        <w:ind w:left="912" w:right="0" w:hanging="481"/>
        <w:jc w:val="left"/>
        <w:rPr>
          <w:sz w:val="24"/>
        </w:rPr>
      </w:pPr>
      <w:r>
        <w:rPr>
          <w:sz w:val="24"/>
        </w:rPr>
        <w:t>初步评审标准</w:t>
      </w:r>
    </w:p>
    <w:p>
      <w:pPr>
        <w:pStyle w:val="16"/>
        <w:numPr>
          <w:ilvl w:val="2"/>
          <w:numId w:val="7"/>
        </w:numPr>
        <w:tabs>
          <w:tab w:val="left" w:pos="1505"/>
        </w:tabs>
        <w:spacing w:before="93" w:after="0" w:line="240" w:lineRule="auto"/>
        <w:ind w:left="1504" w:right="0" w:hanging="716"/>
        <w:jc w:val="left"/>
        <w:rPr>
          <w:sz w:val="24"/>
        </w:rPr>
      </w:pPr>
      <w:r>
        <w:rPr>
          <w:spacing w:val="-3"/>
          <w:sz w:val="24"/>
        </w:rPr>
        <w:t>形式评审标准：见评标办法前附表。</w:t>
      </w:r>
    </w:p>
    <w:p>
      <w:pPr>
        <w:pStyle w:val="16"/>
        <w:numPr>
          <w:ilvl w:val="2"/>
          <w:numId w:val="7"/>
        </w:numPr>
        <w:tabs>
          <w:tab w:val="left" w:pos="1505"/>
        </w:tabs>
        <w:spacing w:before="91" w:after="0" w:line="240" w:lineRule="auto"/>
        <w:ind w:left="1504" w:right="0" w:hanging="716"/>
        <w:jc w:val="left"/>
        <w:rPr>
          <w:sz w:val="24"/>
        </w:rPr>
      </w:pPr>
      <w:r>
        <w:rPr>
          <w:spacing w:val="-3"/>
          <w:sz w:val="24"/>
        </w:rPr>
        <w:t>资格评审标准：见评标办法前附表。</w:t>
      </w:r>
    </w:p>
    <w:p>
      <w:pPr>
        <w:pStyle w:val="16"/>
        <w:numPr>
          <w:ilvl w:val="2"/>
          <w:numId w:val="7"/>
        </w:numPr>
        <w:tabs>
          <w:tab w:val="left" w:pos="1505"/>
        </w:tabs>
        <w:spacing w:before="93" w:after="0" w:line="240" w:lineRule="auto"/>
        <w:ind w:left="1504" w:right="0" w:hanging="716"/>
        <w:jc w:val="left"/>
        <w:rPr>
          <w:sz w:val="24"/>
        </w:rPr>
      </w:pPr>
      <w:r>
        <w:rPr>
          <w:spacing w:val="-3"/>
          <w:sz w:val="24"/>
        </w:rPr>
        <w:t>响应性评审标准：见评标办法前附表。</w:t>
      </w:r>
    </w:p>
    <w:p>
      <w:pPr>
        <w:pStyle w:val="16"/>
        <w:numPr>
          <w:ilvl w:val="1"/>
          <w:numId w:val="7"/>
        </w:numPr>
        <w:tabs>
          <w:tab w:val="left" w:pos="912"/>
        </w:tabs>
        <w:spacing w:before="94" w:after="0" w:line="240" w:lineRule="auto"/>
        <w:ind w:left="912" w:right="0" w:hanging="481"/>
        <w:jc w:val="left"/>
        <w:rPr>
          <w:sz w:val="24"/>
        </w:rPr>
      </w:pPr>
      <w:r>
        <w:rPr>
          <w:sz w:val="24"/>
        </w:rPr>
        <w:t>分值构成与评分标准</w:t>
      </w:r>
    </w:p>
    <w:p>
      <w:pPr>
        <w:pStyle w:val="16"/>
        <w:numPr>
          <w:ilvl w:val="2"/>
          <w:numId w:val="7"/>
        </w:numPr>
        <w:tabs>
          <w:tab w:val="left" w:pos="1744"/>
          <w:tab w:val="left" w:pos="1745"/>
        </w:tabs>
        <w:spacing w:before="91" w:after="0" w:line="240" w:lineRule="auto"/>
        <w:ind w:left="1744" w:right="0" w:hanging="841"/>
        <w:jc w:val="left"/>
        <w:rPr>
          <w:sz w:val="24"/>
          <w:szCs w:val="24"/>
        </w:rPr>
      </w:pPr>
      <w:r>
        <w:rPr>
          <w:sz w:val="24"/>
          <w:szCs w:val="24"/>
        </w:rPr>
        <w:t>分值构成（100</w:t>
      </w:r>
      <w:r>
        <w:rPr>
          <w:spacing w:val="-30"/>
          <w:sz w:val="24"/>
          <w:szCs w:val="24"/>
        </w:rPr>
        <w:t xml:space="preserve"> 分</w:t>
      </w:r>
      <w:r>
        <w:rPr>
          <w:sz w:val="24"/>
          <w:szCs w:val="24"/>
        </w:rPr>
        <w:t>）</w:t>
      </w:r>
    </w:p>
    <w:p>
      <w:pPr>
        <w:pStyle w:val="6"/>
        <w:spacing w:before="93"/>
        <w:ind w:left="1039"/>
        <w:rPr>
          <w:sz w:val="24"/>
          <w:szCs w:val="24"/>
        </w:rPr>
      </w:pPr>
      <w:r>
        <w:rPr>
          <w:sz w:val="24"/>
          <w:szCs w:val="24"/>
        </w:rPr>
        <w:t>(1）技术建议书：见评标办法前附表；</w:t>
      </w:r>
    </w:p>
    <w:p>
      <w:pPr>
        <w:pStyle w:val="16"/>
        <w:numPr>
          <w:ilvl w:val="0"/>
          <w:numId w:val="8"/>
        </w:numPr>
        <w:tabs>
          <w:tab w:val="left" w:pos="1513"/>
        </w:tabs>
        <w:spacing w:before="93" w:after="0" w:line="240" w:lineRule="auto"/>
        <w:ind w:left="1513" w:right="0" w:hanging="602"/>
        <w:jc w:val="left"/>
        <w:rPr>
          <w:sz w:val="24"/>
          <w:szCs w:val="24"/>
        </w:rPr>
      </w:pPr>
      <w:r>
        <w:rPr>
          <w:sz w:val="24"/>
          <w:szCs w:val="24"/>
        </w:rPr>
        <w:t>主要人员：见评标办法前附表；</w:t>
      </w:r>
    </w:p>
    <w:p>
      <w:pPr>
        <w:pStyle w:val="16"/>
        <w:numPr>
          <w:ilvl w:val="0"/>
          <w:numId w:val="8"/>
        </w:numPr>
        <w:tabs>
          <w:tab w:val="left" w:pos="1513"/>
        </w:tabs>
        <w:spacing w:before="91" w:after="0" w:line="240" w:lineRule="auto"/>
        <w:ind w:left="1513" w:right="0" w:hanging="602"/>
        <w:jc w:val="left"/>
        <w:rPr>
          <w:sz w:val="24"/>
          <w:szCs w:val="24"/>
        </w:rPr>
      </w:pPr>
      <w:r>
        <w:rPr>
          <w:sz w:val="24"/>
          <w:szCs w:val="24"/>
        </w:rPr>
        <w:t>评标价：见评标办法前附表；</w:t>
      </w:r>
    </w:p>
    <w:p>
      <w:pPr>
        <w:pStyle w:val="16"/>
        <w:numPr>
          <w:ilvl w:val="0"/>
          <w:numId w:val="8"/>
        </w:numPr>
        <w:tabs>
          <w:tab w:val="left" w:pos="1513"/>
        </w:tabs>
        <w:spacing w:before="93" w:after="0" w:line="240" w:lineRule="auto"/>
        <w:ind w:left="1513" w:right="0" w:hanging="602"/>
        <w:jc w:val="left"/>
        <w:rPr>
          <w:sz w:val="24"/>
          <w:szCs w:val="24"/>
        </w:rPr>
      </w:pPr>
      <w:r>
        <w:rPr>
          <w:sz w:val="24"/>
          <w:szCs w:val="24"/>
        </w:rPr>
        <w:t>其他评分因素：见评标办法前附表。</w:t>
      </w:r>
    </w:p>
    <w:p>
      <w:pPr>
        <w:pStyle w:val="16"/>
        <w:numPr>
          <w:ilvl w:val="2"/>
          <w:numId w:val="7"/>
        </w:numPr>
        <w:tabs>
          <w:tab w:val="left" w:pos="1632"/>
        </w:tabs>
        <w:spacing w:before="94" w:after="0" w:line="240" w:lineRule="auto"/>
        <w:ind w:left="1632" w:right="0" w:hanging="721"/>
        <w:jc w:val="left"/>
        <w:rPr>
          <w:sz w:val="24"/>
          <w:szCs w:val="24"/>
        </w:rPr>
      </w:pPr>
      <w:r>
        <w:rPr>
          <w:sz w:val="24"/>
          <w:szCs w:val="24"/>
        </w:rPr>
        <w:t>评标基准价计算</w:t>
      </w:r>
    </w:p>
    <w:p>
      <w:pPr>
        <w:pStyle w:val="6"/>
        <w:spacing w:before="91"/>
        <w:ind w:left="1723"/>
        <w:rPr>
          <w:sz w:val="24"/>
          <w:szCs w:val="24"/>
        </w:rPr>
      </w:pPr>
      <w:r>
        <w:rPr>
          <w:sz w:val="24"/>
          <w:szCs w:val="24"/>
        </w:rPr>
        <w:t>评标基准价计算方法：见评标办法前附表。</w:t>
      </w:r>
    </w:p>
    <w:p>
      <w:pPr>
        <w:pStyle w:val="16"/>
        <w:numPr>
          <w:ilvl w:val="2"/>
          <w:numId w:val="7"/>
        </w:numPr>
        <w:tabs>
          <w:tab w:val="left" w:pos="1625"/>
        </w:tabs>
        <w:spacing w:before="93" w:after="0" w:line="240" w:lineRule="auto"/>
        <w:ind w:left="1624" w:right="0" w:hanging="721"/>
        <w:jc w:val="left"/>
        <w:rPr>
          <w:sz w:val="24"/>
          <w:szCs w:val="24"/>
        </w:rPr>
      </w:pPr>
      <w:r>
        <w:rPr>
          <w:sz w:val="24"/>
          <w:szCs w:val="24"/>
        </w:rPr>
        <w:t>评标价的偏差率计算</w:t>
      </w:r>
    </w:p>
    <w:p>
      <w:pPr>
        <w:pStyle w:val="6"/>
        <w:spacing w:before="93"/>
        <w:ind w:left="904"/>
        <w:rPr>
          <w:sz w:val="24"/>
          <w:szCs w:val="24"/>
        </w:rPr>
      </w:pPr>
      <w:r>
        <w:rPr>
          <w:sz w:val="24"/>
          <w:szCs w:val="24"/>
        </w:rPr>
        <w:t>评标价的偏差率计算公式：见评标办法前附表。</w:t>
      </w:r>
    </w:p>
    <w:p>
      <w:pPr>
        <w:pStyle w:val="16"/>
        <w:numPr>
          <w:ilvl w:val="2"/>
          <w:numId w:val="7"/>
        </w:numPr>
        <w:tabs>
          <w:tab w:val="left" w:pos="1625"/>
        </w:tabs>
        <w:spacing w:before="91" w:after="0" w:line="240" w:lineRule="auto"/>
        <w:ind w:left="1624" w:right="0" w:hanging="721"/>
        <w:jc w:val="left"/>
        <w:rPr>
          <w:sz w:val="24"/>
          <w:szCs w:val="24"/>
        </w:rPr>
      </w:pPr>
      <w:r>
        <w:rPr>
          <w:sz w:val="24"/>
          <w:szCs w:val="24"/>
        </w:rPr>
        <w:t>评分标准</w:t>
      </w:r>
    </w:p>
    <w:p>
      <w:pPr>
        <w:pStyle w:val="16"/>
        <w:numPr>
          <w:ilvl w:val="3"/>
          <w:numId w:val="7"/>
        </w:numPr>
        <w:tabs>
          <w:tab w:val="left" w:pos="1641"/>
        </w:tabs>
        <w:spacing w:before="93" w:after="0" w:line="240" w:lineRule="auto"/>
        <w:ind w:left="1640" w:right="0" w:hanging="602"/>
        <w:jc w:val="left"/>
        <w:rPr>
          <w:sz w:val="24"/>
          <w:szCs w:val="24"/>
        </w:rPr>
      </w:pPr>
      <w:r>
        <w:rPr>
          <w:sz w:val="24"/>
          <w:szCs w:val="24"/>
        </w:rPr>
        <w:t>技术建议书评分标准：见评标办法前附表；</w:t>
      </w:r>
    </w:p>
    <w:p>
      <w:pPr>
        <w:pStyle w:val="16"/>
        <w:numPr>
          <w:ilvl w:val="3"/>
          <w:numId w:val="7"/>
        </w:numPr>
        <w:tabs>
          <w:tab w:val="left" w:pos="1641"/>
        </w:tabs>
        <w:spacing w:before="94" w:after="0" w:line="240" w:lineRule="auto"/>
        <w:ind w:left="1640" w:right="0" w:hanging="602"/>
        <w:jc w:val="left"/>
        <w:rPr>
          <w:sz w:val="24"/>
          <w:szCs w:val="24"/>
        </w:rPr>
      </w:pPr>
      <w:r>
        <w:rPr>
          <w:sz w:val="24"/>
          <w:szCs w:val="24"/>
        </w:rPr>
        <w:t>主要人员评分标准：见评标办法前附表；</w:t>
      </w:r>
    </w:p>
    <w:p>
      <w:pPr>
        <w:pStyle w:val="16"/>
        <w:numPr>
          <w:ilvl w:val="3"/>
          <w:numId w:val="7"/>
        </w:numPr>
        <w:tabs>
          <w:tab w:val="left" w:pos="1641"/>
        </w:tabs>
        <w:spacing w:before="91" w:after="0" w:line="240" w:lineRule="auto"/>
        <w:ind w:left="1640" w:right="0" w:hanging="602"/>
        <w:jc w:val="left"/>
        <w:rPr>
          <w:sz w:val="24"/>
          <w:szCs w:val="24"/>
        </w:rPr>
      </w:pPr>
      <w:r>
        <w:rPr>
          <w:sz w:val="24"/>
          <w:szCs w:val="24"/>
        </w:rPr>
        <w:t>评标价评分标准：见评标办法前附表；</w:t>
      </w:r>
    </w:p>
    <w:p>
      <w:pPr>
        <w:pStyle w:val="16"/>
        <w:numPr>
          <w:ilvl w:val="3"/>
          <w:numId w:val="7"/>
        </w:numPr>
        <w:tabs>
          <w:tab w:val="left" w:pos="1641"/>
        </w:tabs>
        <w:spacing w:before="93" w:after="0" w:line="312" w:lineRule="auto"/>
        <w:ind w:left="431" w:right="3648" w:firstLine="607"/>
        <w:jc w:val="left"/>
        <w:rPr>
          <w:b/>
          <w:sz w:val="24"/>
        </w:rPr>
      </w:pPr>
      <w:r>
        <w:rPr>
          <w:spacing w:val="-1"/>
          <w:sz w:val="24"/>
          <w:szCs w:val="24"/>
        </w:rPr>
        <w:t>其他因素评分标准：见评标办法前附表。</w:t>
      </w:r>
      <w:r>
        <w:rPr>
          <w:b/>
          <w:sz w:val="24"/>
        </w:rPr>
        <w:t>3.评标程序</w:t>
      </w:r>
    </w:p>
    <w:p>
      <w:pPr>
        <w:pStyle w:val="16"/>
        <w:numPr>
          <w:ilvl w:val="1"/>
          <w:numId w:val="9"/>
        </w:numPr>
        <w:tabs>
          <w:tab w:val="left" w:pos="1031"/>
          <w:tab w:val="left" w:pos="1032"/>
        </w:tabs>
        <w:spacing w:before="0" w:after="0" w:line="307" w:lineRule="exact"/>
        <w:ind w:left="1032" w:right="0" w:hanging="601"/>
        <w:jc w:val="left"/>
        <w:rPr>
          <w:sz w:val="24"/>
        </w:rPr>
      </w:pPr>
      <w:r>
        <w:rPr>
          <w:sz w:val="24"/>
        </w:rPr>
        <w:t>第一个信封初步评审</w:t>
      </w:r>
    </w:p>
    <w:p>
      <w:pPr>
        <w:pStyle w:val="16"/>
        <w:numPr>
          <w:ilvl w:val="2"/>
          <w:numId w:val="9"/>
        </w:numPr>
        <w:tabs>
          <w:tab w:val="left" w:pos="1637"/>
        </w:tabs>
        <w:spacing w:before="93" w:after="0" w:line="240" w:lineRule="auto"/>
        <w:ind w:left="1636" w:right="0" w:hanging="723"/>
        <w:jc w:val="both"/>
        <w:rPr>
          <w:sz w:val="24"/>
          <w:szCs w:val="24"/>
        </w:rPr>
      </w:pPr>
      <w:r>
        <w:rPr>
          <w:sz w:val="24"/>
          <w:szCs w:val="24"/>
        </w:rPr>
        <w:t>评标委员会可以要求投标人提交第二章 “投标人须知”第 3.5.1</w:t>
      </w:r>
      <w:r>
        <w:rPr>
          <w:spacing w:val="2"/>
          <w:sz w:val="24"/>
          <w:szCs w:val="24"/>
        </w:rPr>
        <w:t xml:space="preserve"> 项至第</w:t>
      </w:r>
    </w:p>
    <w:p>
      <w:pPr>
        <w:pStyle w:val="6"/>
        <w:spacing w:before="93" w:line="312" w:lineRule="auto"/>
        <w:ind w:left="431" w:right="173"/>
        <w:jc w:val="both"/>
        <w:rPr>
          <w:sz w:val="24"/>
          <w:szCs w:val="24"/>
        </w:rPr>
      </w:pPr>
      <w:r>
        <w:rPr>
          <w:sz w:val="24"/>
          <w:szCs w:val="24"/>
        </w:rPr>
        <w:t>3.5.5</w:t>
      </w:r>
      <w:r>
        <w:rPr>
          <w:spacing w:val="-8"/>
          <w:sz w:val="24"/>
          <w:szCs w:val="24"/>
        </w:rPr>
        <w:t xml:space="preserve"> 项规定的有关证明和证件的原件，以便核验。评标委员会依据本章第 </w:t>
      </w:r>
      <w:r>
        <w:rPr>
          <w:sz w:val="24"/>
          <w:szCs w:val="24"/>
        </w:rPr>
        <w:t>2.1</w:t>
      </w:r>
      <w:r>
        <w:rPr>
          <w:spacing w:val="6"/>
          <w:sz w:val="24"/>
          <w:szCs w:val="24"/>
        </w:rPr>
        <w:t xml:space="preserve"> 款规</w:t>
      </w:r>
      <w:r>
        <w:rPr>
          <w:sz w:val="24"/>
          <w:szCs w:val="24"/>
        </w:rPr>
        <w:t>定的标准对投标文件第一个信封</w:t>
      </w:r>
      <w:r>
        <w:rPr>
          <w:spacing w:val="4"/>
          <w:sz w:val="24"/>
          <w:szCs w:val="24"/>
        </w:rPr>
        <w:t>（</w:t>
      </w:r>
      <w:r>
        <w:rPr>
          <w:sz w:val="24"/>
          <w:szCs w:val="24"/>
        </w:rPr>
        <w:t>商务及技术文件）进行初步评审。有一项不符合评审标准的，评标委员会应否决其投标。</w:t>
      </w:r>
    </w:p>
    <w:p>
      <w:pPr>
        <w:pStyle w:val="16"/>
        <w:numPr>
          <w:ilvl w:val="1"/>
          <w:numId w:val="9"/>
        </w:numPr>
        <w:tabs>
          <w:tab w:val="left" w:pos="912"/>
        </w:tabs>
        <w:spacing w:before="1" w:after="0" w:line="240" w:lineRule="auto"/>
        <w:ind w:left="912" w:right="0" w:hanging="481"/>
        <w:jc w:val="both"/>
        <w:rPr>
          <w:sz w:val="24"/>
          <w:szCs w:val="24"/>
        </w:rPr>
      </w:pPr>
      <w:r>
        <w:rPr>
          <w:sz w:val="24"/>
          <w:szCs w:val="24"/>
        </w:rPr>
        <w:t>第一个信封详细评审</w:t>
      </w:r>
    </w:p>
    <w:p>
      <w:pPr>
        <w:pStyle w:val="16"/>
        <w:numPr>
          <w:ilvl w:val="2"/>
          <w:numId w:val="9"/>
        </w:numPr>
        <w:tabs>
          <w:tab w:val="left" w:pos="1637"/>
        </w:tabs>
        <w:spacing w:before="91" w:after="0" w:line="312" w:lineRule="auto"/>
        <w:ind w:left="431" w:right="173" w:firstLine="482"/>
        <w:jc w:val="both"/>
        <w:rPr>
          <w:sz w:val="24"/>
          <w:szCs w:val="24"/>
        </w:rPr>
      </w:pPr>
      <w:r>
        <w:rPr>
          <w:spacing w:val="2"/>
          <w:sz w:val="24"/>
          <w:szCs w:val="24"/>
        </w:rPr>
        <w:t xml:space="preserve">评标委员会按本章第 </w:t>
      </w:r>
      <w:r>
        <w:rPr>
          <w:sz w:val="24"/>
          <w:szCs w:val="24"/>
        </w:rPr>
        <w:t>2.2 款规定的量化因素和分值进行打分,并计算出各投标人的商务和技术得分 。</w:t>
      </w:r>
    </w:p>
    <w:p>
      <w:pPr>
        <w:ind w:firstLine="480" w:firstLineChars="200"/>
        <w:rPr>
          <w:sz w:val="24"/>
          <w:szCs w:val="24"/>
        </w:rPr>
      </w:pPr>
      <w:r>
        <w:rPr>
          <w:sz w:val="24"/>
          <w:szCs w:val="24"/>
        </w:rPr>
        <w:t>(1) 按本章第 2.2.4 项(1)目规定的评审因素和分值对技术建议书部分计算出得分A；</w:t>
      </w:r>
    </w:p>
    <w:tbl>
      <w:tblPr>
        <w:tblStyle w:val="9"/>
        <w:tblW w:w="0" w:type="auto"/>
        <w:tblInd w:w="3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0"/>
        <w:gridCol w:w="1080"/>
        <w:gridCol w:w="720"/>
        <w:gridCol w:w="6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70" w:type="dxa"/>
          </w:tcPr>
          <w:p>
            <w:pPr>
              <w:pStyle w:val="13"/>
              <w:spacing w:line="274" w:lineRule="exact"/>
              <w:ind w:left="30" w:right="39"/>
              <w:jc w:val="center"/>
              <w:rPr>
                <w:sz w:val="24"/>
              </w:rPr>
            </w:pPr>
            <w:r>
              <w:rPr>
                <w:sz w:val="24"/>
              </w:rPr>
              <w:t>(2)</w:t>
            </w:r>
          </w:p>
        </w:tc>
        <w:tc>
          <w:tcPr>
            <w:tcW w:w="1080" w:type="dxa"/>
          </w:tcPr>
          <w:p>
            <w:pPr>
              <w:pStyle w:val="13"/>
              <w:spacing w:line="274" w:lineRule="exact"/>
              <w:ind w:right="59"/>
              <w:jc w:val="right"/>
              <w:rPr>
                <w:sz w:val="24"/>
              </w:rPr>
            </w:pPr>
            <w:r>
              <w:rPr>
                <w:sz w:val="24"/>
              </w:rPr>
              <w:t>按本章第</w:t>
            </w:r>
          </w:p>
        </w:tc>
        <w:tc>
          <w:tcPr>
            <w:tcW w:w="720" w:type="dxa"/>
          </w:tcPr>
          <w:p>
            <w:pPr>
              <w:pStyle w:val="13"/>
              <w:spacing w:line="274" w:lineRule="exact"/>
              <w:ind w:right="59"/>
              <w:jc w:val="right"/>
              <w:rPr>
                <w:sz w:val="24"/>
              </w:rPr>
            </w:pPr>
            <w:r>
              <w:rPr>
                <w:sz w:val="24"/>
              </w:rPr>
              <w:t>2.2.4</w:t>
            </w:r>
          </w:p>
        </w:tc>
        <w:tc>
          <w:tcPr>
            <w:tcW w:w="6710" w:type="dxa"/>
          </w:tcPr>
          <w:p>
            <w:pPr>
              <w:pStyle w:val="13"/>
              <w:spacing w:line="274" w:lineRule="exact"/>
              <w:ind w:left="60"/>
              <w:rPr>
                <w:sz w:val="24"/>
              </w:rPr>
            </w:pPr>
            <w:r>
              <w:rPr>
                <w:sz w:val="24"/>
              </w:rPr>
              <w:t>项(2)目规定的评审因素和分值对主要人员部分计算出得分 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470" w:type="dxa"/>
          </w:tcPr>
          <w:p>
            <w:pPr>
              <w:pStyle w:val="13"/>
              <w:spacing w:before="45"/>
              <w:ind w:left="30" w:right="39"/>
              <w:jc w:val="center"/>
              <w:rPr>
                <w:sz w:val="24"/>
              </w:rPr>
            </w:pPr>
            <w:r>
              <w:rPr>
                <w:sz w:val="24"/>
              </w:rPr>
              <w:t>(3)</w:t>
            </w:r>
          </w:p>
        </w:tc>
        <w:tc>
          <w:tcPr>
            <w:tcW w:w="1080" w:type="dxa"/>
          </w:tcPr>
          <w:p>
            <w:pPr>
              <w:pStyle w:val="13"/>
              <w:spacing w:before="45"/>
              <w:ind w:right="59"/>
              <w:jc w:val="right"/>
              <w:rPr>
                <w:sz w:val="24"/>
              </w:rPr>
            </w:pPr>
            <w:r>
              <w:rPr>
                <w:sz w:val="24"/>
              </w:rPr>
              <w:t>按本章第</w:t>
            </w:r>
          </w:p>
        </w:tc>
        <w:tc>
          <w:tcPr>
            <w:tcW w:w="720" w:type="dxa"/>
          </w:tcPr>
          <w:p>
            <w:pPr>
              <w:pStyle w:val="13"/>
              <w:spacing w:before="45"/>
              <w:ind w:right="59"/>
              <w:jc w:val="right"/>
              <w:rPr>
                <w:sz w:val="24"/>
              </w:rPr>
            </w:pPr>
            <w:r>
              <w:rPr>
                <w:sz w:val="24"/>
              </w:rPr>
              <w:t>2.2.4</w:t>
            </w:r>
          </w:p>
        </w:tc>
        <w:tc>
          <w:tcPr>
            <w:tcW w:w="6710" w:type="dxa"/>
          </w:tcPr>
          <w:p>
            <w:pPr>
              <w:pStyle w:val="13"/>
              <w:spacing w:before="45"/>
              <w:ind w:left="60"/>
              <w:rPr>
                <w:sz w:val="24"/>
              </w:rPr>
            </w:pPr>
            <w:r>
              <w:rPr>
                <w:sz w:val="24"/>
              </w:rPr>
              <w:t>项(3)目规定的评审因素和分值对技术能力部分计算出得分 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70" w:type="dxa"/>
          </w:tcPr>
          <w:p>
            <w:pPr>
              <w:pStyle w:val="13"/>
              <w:spacing w:before="46" w:line="254" w:lineRule="exact"/>
              <w:ind w:left="30" w:right="39"/>
              <w:jc w:val="center"/>
              <w:rPr>
                <w:sz w:val="24"/>
              </w:rPr>
            </w:pPr>
            <w:r>
              <w:rPr>
                <w:sz w:val="24"/>
              </w:rPr>
              <w:t>(3)</w:t>
            </w:r>
          </w:p>
        </w:tc>
        <w:tc>
          <w:tcPr>
            <w:tcW w:w="1080" w:type="dxa"/>
          </w:tcPr>
          <w:p>
            <w:pPr>
              <w:pStyle w:val="13"/>
              <w:spacing w:before="46" w:line="254" w:lineRule="exact"/>
              <w:ind w:right="59"/>
              <w:jc w:val="right"/>
              <w:rPr>
                <w:sz w:val="24"/>
              </w:rPr>
            </w:pPr>
            <w:r>
              <w:rPr>
                <w:sz w:val="24"/>
              </w:rPr>
              <w:t>按本章第</w:t>
            </w:r>
          </w:p>
        </w:tc>
        <w:tc>
          <w:tcPr>
            <w:tcW w:w="720" w:type="dxa"/>
          </w:tcPr>
          <w:p>
            <w:pPr>
              <w:pStyle w:val="13"/>
              <w:spacing w:before="46" w:line="254" w:lineRule="exact"/>
              <w:ind w:right="59"/>
              <w:jc w:val="right"/>
              <w:rPr>
                <w:sz w:val="24"/>
              </w:rPr>
            </w:pPr>
            <w:r>
              <w:rPr>
                <w:sz w:val="24"/>
              </w:rPr>
              <w:t>2.2.4</w:t>
            </w:r>
          </w:p>
        </w:tc>
        <w:tc>
          <w:tcPr>
            <w:tcW w:w="6710" w:type="dxa"/>
          </w:tcPr>
          <w:p>
            <w:pPr>
              <w:pStyle w:val="13"/>
              <w:spacing w:before="46" w:line="254" w:lineRule="exact"/>
              <w:ind w:left="60"/>
              <w:rPr>
                <w:sz w:val="24"/>
              </w:rPr>
            </w:pPr>
            <w:r>
              <w:rPr>
                <w:sz w:val="24"/>
              </w:rPr>
              <w:t>项(5)目规定的评审因素和分值对其他因素部分计算出得分 E。</w:t>
            </w:r>
          </w:p>
        </w:tc>
      </w:tr>
    </w:tbl>
    <w:p>
      <w:pPr>
        <w:pStyle w:val="16"/>
        <w:numPr>
          <w:ilvl w:val="2"/>
          <w:numId w:val="9"/>
        </w:numPr>
        <w:tabs>
          <w:tab w:val="left" w:pos="1647"/>
        </w:tabs>
        <w:spacing w:before="127" w:after="0" w:line="312" w:lineRule="auto"/>
        <w:ind w:left="420" w:right="173" w:firstLine="494"/>
        <w:jc w:val="both"/>
        <w:rPr>
          <w:sz w:val="24"/>
        </w:rPr>
      </w:pPr>
      <w:r>
        <w:rPr>
          <w:spacing w:val="8"/>
          <w:sz w:val="24"/>
        </w:rPr>
        <w:t>投标人的商务和技术得分分值计算保留小数点后两位，小数点后第三位</w:t>
      </w:r>
      <w:r>
        <w:rPr>
          <w:sz w:val="24"/>
        </w:rPr>
        <w:t>“四舍五入”。</w:t>
      </w:r>
    </w:p>
    <w:p>
      <w:pPr>
        <w:pStyle w:val="16"/>
        <w:numPr>
          <w:ilvl w:val="2"/>
          <w:numId w:val="9"/>
        </w:numPr>
        <w:tabs>
          <w:tab w:val="left" w:pos="1632"/>
        </w:tabs>
        <w:spacing w:before="0" w:after="0" w:line="307" w:lineRule="exact"/>
        <w:ind w:left="1632" w:right="0" w:hanging="721"/>
        <w:jc w:val="both"/>
        <w:rPr>
          <w:sz w:val="24"/>
        </w:rPr>
      </w:pPr>
      <w:r>
        <w:rPr>
          <w:sz w:val="24"/>
        </w:rPr>
        <w:t>投标人的商务和技术得分=A+B+D+E。</w:t>
      </w:r>
    </w:p>
    <w:p>
      <w:pPr>
        <w:pStyle w:val="16"/>
        <w:numPr>
          <w:ilvl w:val="1"/>
          <w:numId w:val="9"/>
        </w:numPr>
        <w:tabs>
          <w:tab w:val="left" w:pos="912"/>
        </w:tabs>
        <w:spacing w:before="93" w:after="0" w:line="240" w:lineRule="auto"/>
        <w:ind w:left="912" w:right="0" w:hanging="481"/>
        <w:jc w:val="both"/>
        <w:rPr>
          <w:sz w:val="24"/>
        </w:rPr>
      </w:pPr>
      <w:r>
        <w:rPr>
          <w:sz w:val="24"/>
        </w:rPr>
        <w:t>第二个信封开标</w:t>
      </w:r>
    </w:p>
    <w:p>
      <w:pPr>
        <w:pStyle w:val="6"/>
        <w:spacing w:before="91" w:line="312" w:lineRule="auto"/>
        <w:ind w:left="424" w:right="173" w:firstLine="480"/>
        <w:jc w:val="both"/>
        <w:rPr>
          <w:sz w:val="24"/>
          <w:szCs w:val="24"/>
        </w:rPr>
      </w:pPr>
      <w:r>
        <w:rPr>
          <w:sz w:val="24"/>
          <w:szCs w:val="24"/>
        </w:rPr>
        <w:t>第一个信封（商务及技术文件）评审结束后，招标人将按照第二章“投标人须知” 第 5.1 款规定的时间和地点对通过投标文件第一个信封（商务及技术文件）评审的投标文件第二个信封（报价文件）进行开标。</w:t>
      </w:r>
    </w:p>
    <w:p>
      <w:pPr>
        <w:pStyle w:val="16"/>
        <w:numPr>
          <w:ilvl w:val="1"/>
          <w:numId w:val="9"/>
        </w:numPr>
        <w:tabs>
          <w:tab w:val="left" w:pos="912"/>
        </w:tabs>
        <w:spacing w:before="1" w:after="0" w:line="240" w:lineRule="auto"/>
        <w:ind w:left="912" w:right="0" w:hanging="481"/>
        <w:jc w:val="both"/>
        <w:rPr>
          <w:sz w:val="24"/>
        </w:rPr>
      </w:pPr>
      <w:r>
        <w:rPr>
          <w:sz w:val="24"/>
        </w:rPr>
        <w:t>第二个信封初步评审</w:t>
      </w:r>
    </w:p>
    <w:p>
      <w:pPr>
        <w:pStyle w:val="16"/>
        <w:numPr>
          <w:ilvl w:val="2"/>
          <w:numId w:val="9"/>
        </w:numPr>
        <w:tabs>
          <w:tab w:val="left" w:pos="1632"/>
        </w:tabs>
        <w:spacing w:before="93" w:after="0" w:line="312" w:lineRule="auto"/>
        <w:ind w:left="431" w:right="173" w:firstLine="480"/>
        <w:jc w:val="both"/>
        <w:rPr>
          <w:sz w:val="24"/>
        </w:rPr>
      </w:pPr>
      <w:r>
        <w:rPr>
          <w:sz w:val="24"/>
        </w:rPr>
        <w:t>评标委员会依据本章第 2.1.1</w:t>
      </w:r>
      <w:r>
        <w:rPr>
          <w:spacing w:val="-12"/>
          <w:sz w:val="24"/>
        </w:rPr>
        <w:t xml:space="preserve"> 项、第 </w:t>
      </w:r>
      <w:r>
        <w:rPr>
          <w:sz w:val="24"/>
        </w:rPr>
        <w:t>2.1.3</w:t>
      </w:r>
      <w:r>
        <w:rPr>
          <w:spacing w:val="-9"/>
          <w:sz w:val="24"/>
        </w:rPr>
        <w:t xml:space="preserve"> 项规定的评审标准对投标文件</w:t>
      </w:r>
      <w:r>
        <w:rPr>
          <w:sz w:val="24"/>
        </w:rPr>
        <w:t>第二个信封</w:t>
      </w:r>
      <w:r>
        <w:rPr>
          <w:spacing w:val="4"/>
          <w:sz w:val="24"/>
        </w:rPr>
        <w:t>（</w:t>
      </w:r>
      <w:r>
        <w:rPr>
          <w:sz w:val="24"/>
        </w:rPr>
        <w:t>报价文件</w:t>
      </w:r>
      <w:r>
        <w:rPr>
          <w:spacing w:val="4"/>
          <w:sz w:val="24"/>
        </w:rPr>
        <w:t>）</w:t>
      </w:r>
      <w:r>
        <w:rPr>
          <w:sz w:val="24"/>
        </w:rPr>
        <w:t>进行初步评审。有一项不符合评审标准的，评标委员会应否决其投标。</w:t>
      </w:r>
    </w:p>
    <w:p>
      <w:pPr>
        <w:pStyle w:val="16"/>
        <w:numPr>
          <w:ilvl w:val="2"/>
          <w:numId w:val="9"/>
        </w:numPr>
        <w:tabs>
          <w:tab w:val="left" w:pos="1601"/>
        </w:tabs>
        <w:spacing w:before="1" w:after="0" w:line="312" w:lineRule="auto"/>
        <w:ind w:left="280" w:right="207" w:firstLine="600"/>
        <w:jc w:val="left"/>
        <w:rPr>
          <w:sz w:val="24"/>
        </w:rPr>
      </w:pPr>
      <w:r>
        <w:rPr>
          <w:sz w:val="24"/>
        </w:rPr>
        <w:t>投标报价有算术错误的，评标委员会按以下原则对投标报价进行修正，修</w:t>
      </w:r>
      <w:r>
        <w:rPr>
          <w:spacing w:val="-1"/>
          <w:sz w:val="24"/>
        </w:rPr>
        <w:t>正的价格经投标人书面确认后具有约束力。投标人不接受修正价格的，评标委员会应否</w:t>
      </w:r>
      <w:r>
        <w:rPr>
          <w:sz w:val="24"/>
        </w:rPr>
        <w:t>决其投标 。</w:t>
      </w:r>
    </w:p>
    <w:p>
      <w:pPr>
        <w:pStyle w:val="16"/>
        <w:numPr>
          <w:ilvl w:val="0"/>
          <w:numId w:val="10"/>
        </w:numPr>
        <w:tabs>
          <w:tab w:val="left" w:pos="1153"/>
        </w:tabs>
        <w:spacing w:before="0" w:after="0" w:line="240" w:lineRule="auto"/>
        <w:ind w:left="1153" w:right="0" w:hanging="362"/>
        <w:jc w:val="left"/>
        <w:rPr>
          <w:sz w:val="24"/>
        </w:rPr>
      </w:pPr>
      <w:r>
        <w:rPr>
          <w:sz w:val="24"/>
        </w:rPr>
        <w:t>投标文件中的大写金额与小写金额不一致的，以大写金额为准；</w:t>
      </w:r>
    </w:p>
    <w:p>
      <w:pPr>
        <w:pStyle w:val="16"/>
        <w:numPr>
          <w:ilvl w:val="0"/>
          <w:numId w:val="10"/>
        </w:numPr>
        <w:tabs>
          <w:tab w:val="left" w:pos="1146"/>
        </w:tabs>
        <w:spacing w:before="94" w:after="0" w:line="312" w:lineRule="auto"/>
        <w:ind w:left="424" w:right="303" w:firstLine="360"/>
        <w:jc w:val="left"/>
        <w:rPr>
          <w:sz w:val="24"/>
        </w:rPr>
      </w:pPr>
      <w:r>
        <w:rPr>
          <w:spacing w:val="-1"/>
          <w:sz w:val="24"/>
        </w:rPr>
        <w:t>总价金额与依据单价计算出的结果不一致的，以单价金额为准修正总价，但单</w:t>
      </w:r>
      <w:r>
        <w:rPr>
          <w:sz w:val="24"/>
        </w:rPr>
        <w:t>价金额小数点有明显错误的除外：</w:t>
      </w:r>
    </w:p>
    <w:p>
      <w:pPr>
        <w:pStyle w:val="16"/>
        <w:numPr>
          <w:ilvl w:val="0"/>
          <w:numId w:val="10"/>
        </w:numPr>
        <w:tabs>
          <w:tab w:val="left" w:pos="1146"/>
        </w:tabs>
        <w:spacing w:before="0" w:after="0" w:line="312" w:lineRule="auto"/>
        <w:ind w:left="424" w:right="303" w:firstLine="360"/>
        <w:jc w:val="left"/>
        <w:rPr>
          <w:sz w:val="24"/>
        </w:rPr>
      </w:pPr>
      <w:r>
        <w:rPr>
          <w:spacing w:val="-1"/>
          <w:sz w:val="24"/>
        </w:rPr>
        <w:t>当单价与数量相乘不等于合价时，以单价计算为准，如果单价有明显的小数点</w:t>
      </w:r>
      <w:r>
        <w:rPr>
          <w:sz w:val="24"/>
        </w:rPr>
        <w:t>位置差错，应以标出的合价为准，同时对单价予以修正：</w:t>
      </w:r>
    </w:p>
    <w:p>
      <w:pPr>
        <w:pStyle w:val="16"/>
        <w:numPr>
          <w:ilvl w:val="0"/>
          <w:numId w:val="10"/>
        </w:numPr>
        <w:tabs>
          <w:tab w:val="left" w:pos="1146"/>
        </w:tabs>
        <w:spacing w:before="0" w:after="0" w:line="307" w:lineRule="exact"/>
        <w:ind w:left="1145" w:right="0" w:hanging="362"/>
        <w:jc w:val="left"/>
        <w:rPr>
          <w:sz w:val="24"/>
        </w:rPr>
      </w:pPr>
      <w:r>
        <w:rPr>
          <w:sz w:val="24"/>
        </w:rPr>
        <w:t>当各子目的合价累计不等于总价时，应以各子目合价累计数为准，修正总价。</w:t>
      </w:r>
    </w:p>
    <w:p>
      <w:pPr>
        <w:pStyle w:val="16"/>
        <w:numPr>
          <w:ilvl w:val="2"/>
          <w:numId w:val="9"/>
        </w:numPr>
        <w:tabs>
          <w:tab w:val="left" w:pos="1635"/>
        </w:tabs>
        <w:spacing w:before="93" w:after="0" w:line="240" w:lineRule="auto"/>
        <w:ind w:left="1634" w:right="0" w:hanging="721"/>
        <w:jc w:val="left"/>
        <w:rPr>
          <w:sz w:val="24"/>
        </w:rPr>
      </w:pPr>
      <w:r>
        <w:rPr>
          <w:sz w:val="24"/>
        </w:rPr>
        <w:t>修正后的最终投标报价若超过最高投标限价，评标委员会应否决其投标。</w:t>
      </w:r>
    </w:p>
    <w:p>
      <w:pPr>
        <w:pStyle w:val="16"/>
        <w:numPr>
          <w:ilvl w:val="2"/>
          <w:numId w:val="9"/>
        </w:numPr>
        <w:tabs>
          <w:tab w:val="left" w:pos="1630"/>
        </w:tabs>
        <w:spacing w:before="93" w:after="0" w:line="312" w:lineRule="auto"/>
        <w:ind w:left="424" w:right="298" w:firstLine="484"/>
        <w:jc w:val="left"/>
        <w:rPr>
          <w:sz w:val="24"/>
        </w:rPr>
      </w:pPr>
      <w:r>
        <w:rPr>
          <w:spacing w:val="-1"/>
          <w:sz w:val="24"/>
        </w:rPr>
        <w:t>修正后的最终投标报价仅作为签订合同的一个依据，不参与评标价得分的</w:t>
      </w:r>
      <w:r>
        <w:rPr>
          <w:sz w:val="24"/>
        </w:rPr>
        <w:t>计算。</w:t>
      </w:r>
    </w:p>
    <w:p>
      <w:pPr>
        <w:pStyle w:val="16"/>
        <w:numPr>
          <w:ilvl w:val="1"/>
          <w:numId w:val="9"/>
        </w:numPr>
        <w:tabs>
          <w:tab w:val="left" w:pos="912"/>
        </w:tabs>
        <w:spacing w:before="0" w:after="0" w:line="307" w:lineRule="exact"/>
        <w:ind w:left="912" w:right="0" w:hanging="481"/>
        <w:jc w:val="left"/>
        <w:rPr>
          <w:sz w:val="24"/>
        </w:rPr>
      </w:pPr>
      <w:r>
        <w:rPr>
          <w:sz w:val="24"/>
        </w:rPr>
        <w:t>第二个信封详细评审</w:t>
      </w:r>
    </w:p>
    <w:p>
      <w:pPr>
        <w:pStyle w:val="16"/>
        <w:numPr>
          <w:ilvl w:val="2"/>
          <w:numId w:val="9"/>
        </w:numPr>
        <w:tabs>
          <w:tab w:val="left" w:pos="1635"/>
        </w:tabs>
        <w:spacing w:before="93" w:after="0" w:line="312" w:lineRule="auto"/>
        <w:ind w:left="444" w:right="173" w:firstLine="465"/>
        <w:jc w:val="both"/>
        <w:rPr>
          <w:sz w:val="24"/>
        </w:rPr>
      </w:pPr>
      <w:r>
        <w:rPr>
          <w:spacing w:val="1"/>
          <w:sz w:val="24"/>
        </w:rPr>
        <w:t xml:space="preserve">评标委员会按本章第 </w:t>
      </w:r>
      <w:r>
        <w:rPr>
          <w:sz w:val="24"/>
        </w:rPr>
        <w:t>2.2.4</w:t>
      </w:r>
      <w:r>
        <w:rPr>
          <w:spacing w:val="8"/>
          <w:sz w:val="24"/>
        </w:rPr>
        <w:t xml:space="preserve"> 项</w:t>
      </w:r>
      <w:r>
        <w:rPr>
          <w:spacing w:val="3"/>
          <w:sz w:val="24"/>
        </w:rPr>
        <w:t>（4）</w:t>
      </w:r>
      <w:r>
        <w:rPr>
          <w:sz w:val="24"/>
        </w:rPr>
        <w:t>目规定的评审因素和分值对评标价计</w:t>
      </w:r>
      <w:r>
        <w:rPr>
          <w:spacing w:val="16"/>
          <w:sz w:val="24"/>
        </w:rPr>
        <w:t>算出得分 C</w:t>
      </w:r>
      <w:r>
        <w:rPr>
          <w:spacing w:val="15"/>
          <w:sz w:val="24"/>
        </w:rPr>
        <w:t>。评标价得分分值计算保留小数点后两位，小数点后第三位“四舍五入”。</w:t>
      </w:r>
    </w:p>
    <w:p>
      <w:pPr>
        <w:pStyle w:val="16"/>
        <w:numPr>
          <w:ilvl w:val="2"/>
          <w:numId w:val="9"/>
        </w:numPr>
        <w:tabs>
          <w:tab w:val="left" w:pos="1635"/>
        </w:tabs>
        <w:spacing w:before="1" w:after="0" w:line="240" w:lineRule="auto"/>
        <w:ind w:left="1634" w:right="0" w:hanging="721"/>
        <w:jc w:val="both"/>
        <w:rPr>
          <w:sz w:val="24"/>
        </w:rPr>
      </w:pPr>
      <w:r>
        <w:rPr>
          <w:sz w:val="24"/>
        </w:rPr>
        <w:t>投标人综合得分=投标人的商务和技术得分＋C 。</w:t>
      </w:r>
    </w:p>
    <w:p>
      <w:pPr>
        <w:pStyle w:val="16"/>
        <w:numPr>
          <w:ilvl w:val="2"/>
          <w:numId w:val="9"/>
        </w:numPr>
        <w:tabs>
          <w:tab w:val="left" w:pos="1632"/>
        </w:tabs>
        <w:spacing w:before="91" w:after="0" w:line="312" w:lineRule="auto"/>
        <w:ind w:left="424" w:right="176" w:firstLine="484"/>
        <w:jc w:val="both"/>
        <w:rPr>
          <w:sz w:val="24"/>
        </w:rPr>
      </w:pPr>
      <w:r>
        <w:rPr>
          <w:sz w:val="24"/>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spacing w:after="0" w:line="312" w:lineRule="auto"/>
        <w:jc w:val="both"/>
        <w:rPr>
          <w:sz w:val="24"/>
        </w:rPr>
        <w:sectPr>
          <w:footerReference r:id="rId3" w:type="default"/>
          <w:pgSz w:w="11910" w:h="16838"/>
          <w:pgMar w:top="1100" w:right="1378" w:bottom="845" w:left="1440" w:header="890" w:footer="737" w:gutter="0"/>
          <w:pgNumType w:fmt="decimal"/>
          <w:cols w:space="0" w:num="1"/>
          <w:rtlGutter w:val="0"/>
          <w:docGrid w:linePitch="0" w:charSpace="0"/>
        </w:sectPr>
      </w:pPr>
    </w:p>
    <w:p>
      <w:pPr>
        <w:pStyle w:val="16"/>
        <w:numPr>
          <w:ilvl w:val="1"/>
          <w:numId w:val="9"/>
        </w:numPr>
        <w:tabs>
          <w:tab w:val="left" w:pos="912"/>
        </w:tabs>
        <w:spacing w:before="52" w:after="0" w:line="240" w:lineRule="auto"/>
        <w:ind w:left="912" w:right="0" w:hanging="481"/>
        <w:jc w:val="both"/>
        <w:rPr>
          <w:sz w:val="24"/>
          <w:szCs w:val="24"/>
        </w:rPr>
      </w:pPr>
      <w:r>
        <w:rPr>
          <w:sz w:val="24"/>
          <w:szCs w:val="24"/>
        </w:rPr>
        <w:t>投标文件相关信息的核查</w:t>
      </w:r>
    </w:p>
    <w:p>
      <w:pPr>
        <w:pStyle w:val="6"/>
        <w:spacing w:before="90" w:line="312" w:lineRule="auto"/>
        <w:ind w:left="431" w:right="173" w:firstLine="480"/>
        <w:jc w:val="both"/>
        <w:rPr>
          <w:sz w:val="24"/>
          <w:szCs w:val="24"/>
        </w:rPr>
      </w:pPr>
      <w:r>
        <w:rPr>
          <w:sz w:val="24"/>
          <w:szCs w:val="24"/>
        </w:rPr>
        <w:t>3.6.2 评标委员会应对在评标过程中发现的投标人与投标人之间、投标人与招标人之间存在的串通投标的情形进行评审和认定。投标人存在串通投标、弄虚作假、行贿等违法行为的，评标委员会应否决其投标。</w:t>
      </w:r>
    </w:p>
    <w:p>
      <w:pPr>
        <w:pStyle w:val="16"/>
        <w:numPr>
          <w:ilvl w:val="0"/>
          <w:numId w:val="11"/>
        </w:numPr>
        <w:tabs>
          <w:tab w:val="left" w:pos="1033"/>
        </w:tabs>
        <w:spacing w:before="1" w:after="0" w:line="240" w:lineRule="auto"/>
        <w:ind w:left="1033" w:right="0" w:hanging="602"/>
        <w:jc w:val="left"/>
        <w:rPr>
          <w:sz w:val="24"/>
          <w:szCs w:val="24"/>
        </w:rPr>
      </w:pPr>
      <w:r>
        <w:rPr>
          <w:sz w:val="24"/>
          <w:szCs w:val="24"/>
        </w:rPr>
        <w:t>有下列情形之一的，属于投标人相互串通投标：</w:t>
      </w:r>
    </w:p>
    <w:p>
      <w:pPr>
        <w:numPr>
          <w:ilvl w:val="0"/>
          <w:numId w:val="0"/>
        </w:numPr>
        <w:ind w:firstLine="630" w:firstLineChars="300"/>
      </w:pPr>
      <w:r>
        <w:rPr>
          <w:rFonts w:hint="eastAsia"/>
          <w:lang w:val="en-US" w:eastAsia="zh-CN"/>
        </w:rPr>
        <w:t>a.</w:t>
      </w:r>
      <w:r>
        <w:t xml:space="preserve">投标人之间协商投标报价等投标文件的实质性内容； </w:t>
      </w:r>
    </w:p>
    <w:p>
      <w:pPr>
        <w:numPr>
          <w:ilvl w:val="0"/>
          <w:numId w:val="0"/>
        </w:numPr>
        <w:ind w:firstLine="630" w:firstLineChars="300"/>
      </w:pPr>
      <w:r>
        <w:t>b.投标人之间约定中标人；</w:t>
      </w:r>
    </w:p>
    <w:p>
      <w:pPr>
        <w:pStyle w:val="6"/>
        <w:spacing w:line="307" w:lineRule="exact"/>
        <w:ind w:firstLine="480" w:firstLineChars="200"/>
        <w:rPr>
          <w:sz w:val="24"/>
          <w:szCs w:val="24"/>
        </w:rPr>
      </w:pPr>
      <w:r>
        <w:rPr>
          <w:sz w:val="24"/>
          <w:szCs w:val="24"/>
        </w:rPr>
        <w:t>C.投标人之间约定部分投标人放弃投标或中标；</w:t>
      </w:r>
    </w:p>
    <w:p>
      <w:pPr>
        <w:ind w:firstLine="630" w:firstLineChars="300"/>
      </w:pPr>
      <w:r>
        <w:t xml:space="preserve">d.属于同一集团、协会、商会等组织成员的投标人按照该组织要求协同投标； </w:t>
      </w:r>
    </w:p>
    <w:p>
      <w:pPr>
        <w:pStyle w:val="6"/>
        <w:spacing w:before="94" w:line="312" w:lineRule="auto"/>
        <w:ind w:right="537" w:firstLine="480" w:firstLineChars="200"/>
        <w:rPr>
          <w:sz w:val="24"/>
          <w:szCs w:val="24"/>
        </w:rPr>
      </w:pPr>
      <w:r>
        <w:rPr>
          <w:sz w:val="24"/>
          <w:szCs w:val="24"/>
        </w:rPr>
        <w:t>e.投标人之间为谋取中标或排斥特定投标人而 采取的其他联合行动。</w:t>
      </w:r>
    </w:p>
    <w:p>
      <w:pPr>
        <w:pStyle w:val="16"/>
        <w:numPr>
          <w:ilvl w:val="0"/>
          <w:numId w:val="11"/>
        </w:numPr>
        <w:tabs>
          <w:tab w:val="left" w:pos="1033"/>
        </w:tabs>
        <w:spacing w:before="0" w:after="0" w:line="307" w:lineRule="exact"/>
        <w:ind w:left="1033" w:right="0" w:hanging="602"/>
        <w:jc w:val="left"/>
        <w:rPr>
          <w:sz w:val="24"/>
          <w:szCs w:val="24"/>
        </w:rPr>
      </w:pPr>
      <w:r>
        <w:rPr>
          <w:sz w:val="24"/>
          <w:szCs w:val="24"/>
        </w:rPr>
        <w:t>有下列情形之一的，视为投标人相互串通投标：</w:t>
      </w:r>
    </w:p>
    <w:p>
      <w:pPr>
        <w:ind w:firstLine="1050" w:firstLineChars="500"/>
      </w:pPr>
      <w:r>
        <w:rPr>
          <w:rFonts w:hint="eastAsia"/>
          <w:lang w:val="en-US" w:eastAsia="zh-CN"/>
        </w:rPr>
        <w:t>a.</w:t>
      </w:r>
      <w:r>
        <w:t>不同投标人的投标文件由同 一单位或个人编制；</w:t>
      </w:r>
    </w:p>
    <w:p>
      <w:pPr>
        <w:ind w:firstLine="1050" w:firstLineChars="500"/>
      </w:pPr>
      <w:r>
        <w:t xml:space="preserve"> b.不同投标人委托同一单位或个人办理投标事宜；</w:t>
      </w:r>
    </w:p>
    <w:p>
      <w:pPr>
        <w:pStyle w:val="6"/>
        <w:spacing w:line="307" w:lineRule="exact"/>
        <w:ind w:left="1039"/>
        <w:rPr>
          <w:sz w:val="24"/>
          <w:szCs w:val="24"/>
        </w:rPr>
      </w:pPr>
      <w:r>
        <w:rPr>
          <w:sz w:val="24"/>
          <w:szCs w:val="24"/>
        </w:rPr>
        <w:t>C.不同投标人的投标文件载明的项目管理成员为同一人；</w:t>
      </w:r>
    </w:p>
    <w:p>
      <w:pPr>
        <w:ind w:firstLine="840" w:firstLineChars="400"/>
      </w:pPr>
      <w:r>
        <w:t>d.不同投标人的投标文件异常 一致或投标报价呈规律性差异；</w:t>
      </w:r>
    </w:p>
    <w:p>
      <w:pPr>
        <w:ind w:firstLine="840" w:firstLineChars="400"/>
      </w:pPr>
      <w:r>
        <w:t xml:space="preserve"> e.不同投标人的投标文件相互混装；</w:t>
      </w:r>
    </w:p>
    <w:p>
      <w:pPr>
        <w:pStyle w:val="6"/>
        <w:spacing w:line="307" w:lineRule="exact"/>
        <w:ind w:left="1039"/>
        <w:rPr>
          <w:sz w:val="24"/>
          <w:szCs w:val="24"/>
        </w:rPr>
      </w:pPr>
      <w:r>
        <w:rPr>
          <w:sz w:val="24"/>
          <w:szCs w:val="24"/>
        </w:rPr>
        <w:t>f.不同投标人的投标保证金从同 一单位或个人的账户转出。</w:t>
      </w:r>
    </w:p>
    <w:p>
      <w:pPr>
        <w:pStyle w:val="16"/>
        <w:numPr>
          <w:ilvl w:val="0"/>
          <w:numId w:val="11"/>
        </w:numPr>
        <w:tabs>
          <w:tab w:val="left" w:pos="1033"/>
        </w:tabs>
        <w:spacing w:before="94" w:after="0" w:line="240" w:lineRule="auto"/>
        <w:ind w:left="1033" w:right="0" w:hanging="602"/>
        <w:jc w:val="left"/>
        <w:rPr>
          <w:sz w:val="24"/>
          <w:szCs w:val="24"/>
        </w:rPr>
      </w:pPr>
      <w:r>
        <w:rPr>
          <w:sz w:val="24"/>
          <w:szCs w:val="24"/>
        </w:rPr>
        <w:t>有下列情形之一的 ，属于招标人与投标人串通投标：</w:t>
      </w:r>
    </w:p>
    <w:p>
      <w:pPr>
        <w:numPr>
          <w:ilvl w:val="0"/>
          <w:numId w:val="0"/>
        </w:numPr>
        <w:ind w:firstLine="952" w:firstLineChars="400"/>
        <w:rPr>
          <w:spacing w:val="-1"/>
          <w:sz w:val="24"/>
          <w:szCs w:val="24"/>
        </w:rPr>
      </w:pPr>
      <w:r>
        <w:rPr>
          <w:rFonts w:hint="eastAsia"/>
          <w:spacing w:val="-1"/>
          <w:sz w:val="24"/>
          <w:szCs w:val="24"/>
          <w:lang w:val="en-US" w:eastAsia="zh-CN"/>
        </w:rPr>
        <w:t>a.</w:t>
      </w:r>
      <w:r>
        <w:rPr>
          <w:spacing w:val="-1"/>
          <w:sz w:val="24"/>
          <w:szCs w:val="24"/>
        </w:rPr>
        <w:t xml:space="preserve">招标人在开标前开启投标文件并将有关信息泄露给其他投标人； </w:t>
      </w:r>
    </w:p>
    <w:p>
      <w:pPr>
        <w:numPr>
          <w:ilvl w:val="0"/>
          <w:numId w:val="0"/>
        </w:numPr>
        <w:ind w:firstLine="960" w:firstLineChars="400"/>
        <w:rPr>
          <w:spacing w:val="-8"/>
          <w:sz w:val="24"/>
          <w:szCs w:val="24"/>
        </w:rPr>
      </w:pPr>
      <w:r>
        <w:rPr>
          <w:sz w:val="24"/>
          <w:szCs w:val="24"/>
        </w:rPr>
        <w:t>b</w:t>
      </w:r>
      <w:r>
        <w:rPr>
          <w:spacing w:val="-8"/>
          <w:sz w:val="24"/>
          <w:szCs w:val="24"/>
        </w:rPr>
        <w:t xml:space="preserve"> 招标人直接或间接向投标人泄露标底、评标委员会成员等信息；</w:t>
      </w:r>
    </w:p>
    <w:p>
      <w:pPr>
        <w:numPr>
          <w:ilvl w:val="0"/>
          <w:numId w:val="0"/>
        </w:numPr>
        <w:ind w:firstLine="896" w:firstLineChars="400"/>
        <w:rPr>
          <w:sz w:val="24"/>
          <w:szCs w:val="24"/>
        </w:rPr>
      </w:pPr>
      <w:r>
        <w:rPr>
          <w:spacing w:val="-8"/>
          <w:sz w:val="24"/>
          <w:szCs w:val="24"/>
        </w:rPr>
        <w:t xml:space="preserve"> c 招标人明示或暗示投标人压低或抬高投标报价；</w:t>
      </w:r>
    </w:p>
    <w:p>
      <w:pPr>
        <w:pStyle w:val="16"/>
        <w:numPr>
          <w:ilvl w:val="0"/>
          <w:numId w:val="12"/>
        </w:numPr>
        <w:tabs>
          <w:tab w:val="left" w:pos="1281"/>
        </w:tabs>
        <w:spacing w:before="1" w:after="0" w:line="240" w:lineRule="auto"/>
        <w:ind w:left="1280" w:right="0" w:hanging="242"/>
        <w:jc w:val="left"/>
        <w:rPr>
          <w:sz w:val="24"/>
          <w:szCs w:val="24"/>
        </w:rPr>
      </w:pPr>
      <w:r>
        <w:rPr>
          <w:sz w:val="24"/>
          <w:szCs w:val="24"/>
        </w:rPr>
        <w:t>招标人授意投标人撤换、修改投标文件；</w:t>
      </w:r>
    </w:p>
    <w:p>
      <w:pPr>
        <w:pStyle w:val="16"/>
        <w:numPr>
          <w:ilvl w:val="0"/>
          <w:numId w:val="12"/>
        </w:numPr>
        <w:tabs>
          <w:tab w:val="left" w:pos="1281"/>
        </w:tabs>
        <w:spacing w:before="91" w:after="0" w:line="240" w:lineRule="auto"/>
        <w:ind w:left="1280" w:right="0" w:hanging="242"/>
        <w:jc w:val="left"/>
        <w:rPr>
          <w:sz w:val="24"/>
          <w:szCs w:val="24"/>
        </w:rPr>
      </w:pPr>
      <w:r>
        <w:rPr>
          <w:sz w:val="24"/>
          <w:szCs w:val="24"/>
        </w:rPr>
        <w:t>招标人明示或暗示投标人为特定投标人中标提供方便；</w:t>
      </w:r>
    </w:p>
    <w:p>
      <w:pPr>
        <w:pStyle w:val="16"/>
        <w:numPr>
          <w:ilvl w:val="0"/>
          <w:numId w:val="12"/>
        </w:numPr>
        <w:tabs>
          <w:tab w:val="left" w:pos="1281"/>
        </w:tabs>
        <w:spacing w:before="93" w:after="0" w:line="240" w:lineRule="auto"/>
        <w:ind w:left="1280" w:right="0" w:hanging="242"/>
        <w:jc w:val="left"/>
        <w:rPr>
          <w:sz w:val="24"/>
          <w:szCs w:val="24"/>
        </w:rPr>
      </w:pPr>
      <w:r>
        <w:rPr>
          <w:sz w:val="24"/>
          <w:szCs w:val="24"/>
        </w:rPr>
        <w:t>招标人与投标人为谋求特定投标人中标而采取的其他串通行为。</w:t>
      </w:r>
    </w:p>
    <w:p>
      <w:pPr>
        <w:pStyle w:val="16"/>
        <w:numPr>
          <w:ilvl w:val="0"/>
          <w:numId w:val="11"/>
        </w:numPr>
        <w:tabs>
          <w:tab w:val="left" w:pos="1165"/>
        </w:tabs>
        <w:spacing w:before="93" w:after="0" w:line="240" w:lineRule="auto"/>
        <w:ind w:left="1165" w:right="0" w:hanging="601"/>
        <w:jc w:val="left"/>
      </w:pPr>
      <w:r>
        <w:rPr>
          <w:sz w:val="24"/>
          <w:szCs w:val="24"/>
        </w:rPr>
        <w:t>投标人有下列情形之一的，属于弄虚作假的行为；</w:t>
      </w:r>
    </w:p>
    <w:p>
      <w:pPr>
        <w:pStyle w:val="16"/>
        <w:numPr>
          <w:ilvl w:val="0"/>
          <w:numId w:val="0"/>
        </w:numPr>
        <w:tabs>
          <w:tab w:val="left" w:pos="1165"/>
        </w:tabs>
        <w:spacing w:before="93" w:after="0" w:line="240" w:lineRule="auto"/>
        <w:ind w:right="0" w:rightChars="0" w:firstLine="1190" w:firstLineChars="500"/>
        <w:jc w:val="left"/>
      </w:pPr>
      <w:r>
        <w:rPr>
          <w:rFonts w:hint="eastAsia"/>
          <w:spacing w:val="-1"/>
          <w:sz w:val="24"/>
          <w:szCs w:val="24"/>
          <w:lang w:val="en-US" w:eastAsia="zh-CN"/>
        </w:rPr>
        <w:t>a.</w:t>
      </w:r>
      <w:r>
        <w:t>使用通过受让或租借等方式获取的资格 、资质证书投标；</w:t>
      </w:r>
    </w:p>
    <w:p>
      <w:pPr>
        <w:numPr>
          <w:ilvl w:val="0"/>
          <w:numId w:val="0"/>
        </w:numPr>
        <w:ind w:firstLine="1050" w:firstLineChars="500"/>
      </w:pPr>
      <w:r>
        <w:t xml:space="preserve"> b.使用伪造、变造的许可证件；</w:t>
      </w:r>
    </w:p>
    <w:p>
      <w:pPr>
        <w:pStyle w:val="6"/>
        <w:spacing w:before="2"/>
        <w:ind w:left="1039"/>
        <w:rPr>
          <w:sz w:val="24"/>
          <w:szCs w:val="24"/>
        </w:rPr>
      </w:pPr>
      <w:r>
        <w:rPr>
          <w:sz w:val="24"/>
          <w:szCs w:val="24"/>
        </w:rPr>
        <w:t>C.提供虚假的业绩；</w:t>
      </w:r>
    </w:p>
    <w:p>
      <w:pPr>
        <w:ind w:firstLine="960" w:firstLineChars="400"/>
        <w:rPr>
          <w:spacing w:val="-1"/>
          <w:sz w:val="24"/>
          <w:szCs w:val="24"/>
        </w:rPr>
      </w:pPr>
      <w:r>
        <w:rPr>
          <w:sz w:val="24"/>
          <w:szCs w:val="24"/>
        </w:rPr>
        <w:t>d.</w:t>
      </w:r>
      <w:r>
        <w:rPr>
          <w:spacing w:val="-1"/>
          <w:sz w:val="24"/>
          <w:szCs w:val="24"/>
        </w:rPr>
        <w:t>提供虚假的项目 负责人或主要技术人员简历、劳动关系证明；</w:t>
      </w:r>
    </w:p>
    <w:p>
      <w:pPr>
        <w:ind w:firstLine="952" w:firstLineChars="400"/>
        <w:rPr>
          <w:sz w:val="24"/>
          <w:szCs w:val="24"/>
        </w:rPr>
      </w:pPr>
      <w:r>
        <w:rPr>
          <w:spacing w:val="-1"/>
          <w:sz w:val="24"/>
          <w:szCs w:val="24"/>
        </w:rPr>
        <w:t xml:space="preserve"> </w:t>
      </w:r>
      <w:r>
        <w:rPr>
          <w:sz w:val="24"/>
          <w:szCs w:val="24"/>
        </w:rPr>
        <w:t>e.提供虚假的信用状况；</w:t>
      </w:r>
    </w:p>
    <w:p>
      <w:pPr>
        <w:pStyle w:val="6"/>
        <w:spacing w:before="2"/>
        <w:ind w:left="1039"/>
        <w:rPr>
          <w:sz w:val="24"/>
          <w:szCs w:val="24"/>
        </w:rPr>
      </w:pPr>
      <w:r>
        <w:rPr>
          <w:sz w:val="24"/>
          <w:szCs w:val="24"/>
        </w:rPr>
        <w:t>f.其他弄虚作假的行为。</w:t>
      </w:r>
    </w:p>
    <w:p>
      <w:pPr>
        <w:pStyle w:val="16"/>
        <w:numPr>
          <w:ilvl w:val="1"/>
          <w:numId w:val="9"/>
        </w:numPr>
        <w:tabs>
          <w:tab w:val="left" w:pos="912"/>
        </w:tabs>
        <w:spacing w:before="91" w:after="0" w:line="240" w:lineRule="auto"/>
        <w:ind w:left="912" w:right="0" w:hanging="481"/>
        <w:jc w:val="left"/>
        <w:rPr>
          <w:sz w:val="24"/>
          <w:szCs w:val="24"/>
        </w:rPr>
      </w:pPr>
      <w:r>
        <w:rPr>
          <w:sz w:val="24"/>
          <w:szCs w:val="24"/>
        </w:rPr>
        <w:t>投标文件的澄清和说明</w:t>
      </w:r>
    </w:p>
    <w:p>
      <w:pPr>
        <w:pStyle w:val="16"/>
        <w:numPr>
          <w:ilvl w:val="2"/>
          <w:numId w:val="9"/>
        </w:numPr>
        <w:tabs>
          <w:tab w:val="left" w:pos="1635"/>
        </w:tabs>
        <w:spacing w:before="93" w:after="0" w:line="312" w:lineRule="auto"/>
        <w:ind w:left="431" w:right="173" w:firstLine="480"/>
        <w:jc w:val="both"/>
        <w:rPr>
          <w:sz w:val="24"/>
          <w:szCs w:val="24"/>
        </w:rPr>
      </w:pPr>
      <w:r>
        <w:rPr>
          <w:sz w:val="24"/>
          <w:szCs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w:t>
      </w:r>
      <w:bookmarkStart w:id="1" w:name="第四章  合同条款及格式"/>
      <w:bookmarkEnd w:id="1"/>
      <w:r>
        <w:rPr>
          <w:sz w:val="24"/>
          <w:szCs w:val="24"/>
        </w:rPr>
        <w:t>其投标 。</w:t>
      </w:r>
    </w:p>
    <w:p>
      <w:pPr>
        <w:pStyle w:val="16"/>
        <w:numPr>
          <w:ilvl w:val="2"/>
          <w:numId w:val="9"/>
        </w:numPr>
        <w:tabs>
          <w:tab w:val="left" w:pos="1635"/>
        </w:tabs>
        <w:spacing w:before="90" w:after="0" w:line="312" w:lineRule="auto"/>
        <w:ind w:left="431" w:right="413" w:firstLine="482"/>
        <w:jc w:val="left"/>
        <w:rPr>
          <w:sz w:val="24"/>
          <w:szCs w:val="24"/>
        </w:rPr>
      </w:pPr>
      <w:r>
        <w:rPr>
          <w:sz w:val="24"/>
          <w:szCs w:val="24"/>
        </w:rPr>
        <w:t>澄清和说明不得超出投标文件的范围或改 变投标文件的实</w:t>
      </w:r>
      <w:bookmarkStart w:id="2" w:name="_GoBack"/>
      <w:bookmarkEnd w:id="2"/>
      <w:r>
        <w:rPr>
          <w:sz w:val="24"/>
          <w:szCs w:val="24"/>
        </w:rPr>
        <w:t>质性内容（</w:t>
      </w:r>
      <w:r>
        <w:rPr>
          <w:spacing w:val="-16"/>
          <w:sz w:val="24"/>
          <w:szCs w:val="24"/>
        </w:rPr>
        <w:t>算</w:t>
      </w:r>
      <w:r>
        <w:rPr>
          <w:sz w:val="24"/>
          <w:szCs w:val="24"/>
        </w:rPr>
        <w:t>术 性错误的修正除外）。投标人的书面澄清、说明属于投标文件的组成部分。</w:t>
      </w:r>
    </w:p>
    <w:p>
      <w:pPr>
        <w:pStyle w:val="16"/>
        <w:numPr>
          <w:ilvl w:val="2"/>
          <w:numId w:val="9"/>
        </w:numPr>
        <w:tabs>
          <w:tab w:val="left" w:pos="1840"/>
          <w:tab w:val="left" w:pos="1841"/>
        </w:tabs>
        <w:spacing w:before="3" w:after="0" w:line="312" w:lineRule="auto"/>
        <w:ind w:left="280" w:right="207" w:firstLine="720"/>
        <w:jc w:val="left"/>
        <w:rPr>
          <w:sz w:val="24"/>
          <w:szCs w:val="24"/>
        </w:rPr>
      </w:pPr>
      <w:r>
        <w:rPr>
          <w:sz w:val="24"/>
          <w:szCs w:val="24"/>
        </w:rPr>
        <w:t>评标委员会不得暗示或诱导投标人作出澄清、说明，对投标人提交的澄</w:t>
      </w:r>
      <w:r>
        <w:rPr>
          <w:spacing w:val="-1"/>
          <w:sz w:val="24"/>
          <w:szCs w:val="24"/>
        </w:rPr>
        <w:t>清、说明有疑问的，可以要求投标人进一步澄清或说明，直至满足评标委员会的要求。</w:t>
      </w:r>
    </w:p>
    <w:p>
      <w:pPr>
        <w:pStyle w:val="16"/>
        <w:numPr>
          <w:ilvl w:val="2"/>
          <w:numId w:val="9"/>
        </w:numPr>
        <w:tabs>
          <w:tab w:val="left" w:pos="1630"/>
        </w:tabs>
        <w:spacing w:before="0" w:after="0" w:line="312" w:lineRule="auto"/>
        <w:ind w:left="424" w:right="298" w:firstLine="484"/>
        <w:jc w:val="left"/>
        <w:rPr>
          <w:sz w:val="24"/>
          <w:szCs w:val="24"/>
        </w:rPr>
      </w:pPr>
      <w:r>
        <w:rPr>
          <w:spacing w:val="-1"/>
          <w:sz w:val="24"/>
          <w:szCs w:val="24"/>
        </w:rPr>
        <w:t>凡超出招标文件规定的或给委托人带来未曾要求的利益的变化、偏差或其</w:t>
      </w:r>
      <w:r>
        <w:rPr>
          <w:sz w:val="24"/>
          <w:szCs w:val="24"/>
        </w:rPr>
        <w:t>他因素在评标时不予考虑 。</w:t>
      </w:r>
    </w:p>
    <w:p>
      <w:pPr>
        <w:pStyle w:val="16"/>
        <w:numPr>
          <w:ilvl w:val="0"/>
          <w:numId w:val="7"/>
        </w:numPr>
        <w:tabs>
          <w:tab w:val="left" w:pos="792"/>
          <w:tab w:val="left" w:pos="1151"/>
        </w:tabs>
        <w:spacing w:before="0" w:after="0" w:line="307" w:lineRule="exact"/>
        <w:ind w:left="792" w:right="0" w:hanging="361"/>
        <w:jc w:val="left"/>
        <w:rPr>
          <w:sz w:val="24"/>
          <w:szCs w:val="24"/>
        </w:rPr>
      </w:pPr>
      <w:r>
        <w:rPr>
          <w:sz w:val="24"/>
          <w:szCs w:val="24"/>
        </w:rPr>
        <w:t>8</w:t>
      </w:r>
      <w:r>
        <w:rPr>
          <w:sz w:val="24"/>
          <w:szCs w:val="24"/>
        </w:rPr>
        <w:tab/>
      </w:r>
      <w:r>
        <w:rPr>
          <w:sz w:val="24"/>
          <w:szCs w:val="24"/>
        </w:rPr>
        <w:t>不得否决投标的情形</w:t>
      </w:r>
    </w:p>
    <w:p>
      <w:pPr>
        <w:pStyle w:val="6"/>
        <w:spacing w:before="93" w:line="312" w:lineRule="auto"/>
        <w:ind w:left="424" w:right="303" w:firstLine="484"/>
        <w:rPr>
          <w:sz w:val="24"/>
          <w:szCs w:val="24"/>
        </w:rPr>
      </w:pPr>
      <w:r>
        <w:rPr>
          <w:sz w:val="24"/>
          <w:szCs w:val="24"/>
        </w:rPr>
        <w:t>投标文件存在第二章“投标人须知” 第 1.12.3 项所列情形的，均视为细微偏差，评标委员会不得否决投标人的投标，应按照第二章“投标人须知”第 1.12.4 项规定的原则处理。</w:t>
      </w:r>
    </w:p>
    <w:p>
      <w:pPr>
        <w:pStyle w:val="6"/>
        <w:ind w:left="431"/>
        <w:rPr>
          <w:sz w:val="24"/>
          <w:szCs w:val="24"/>
        </w:rPr>
      </w:pPr>
      <w:r>
        <w:rPr>
          <w:sz w:val="24"/>
          <w:szCs w:val="24"/>
        </w:rPr>
        <w:t>3. 9 评标结果</w:t>
      </w:r>
    </w:p>
    <w:p>
      <w:pPr>
        <w:pStyle w:val="16"/>
        <w:numPr>
          <w:ilvl w:val="2"/>
          <w:numId w:val="13"/>
        </w:numPr>
        <w:tabs>
          <w:tab w:val="left" w:pos="1630"/>
        </w:tabs>
        <w:spacing w:before="94" w:after="0" w:line="312" w:lineRule="auto"/>
        <w:ind w:left="424" w:right="298" w:firstLine="484"/>
        <w:jc w:val="left"/>
        <w:rPr>
          <w:sz w:val="24"/>
          <w:szCs w:val="24"/>
        </w:rPr>
      </w:pPr>
      <w:r>
        <w:rPr>
          <w:spacing w:val="-1"/>
          <w:sz w:val="24"/>
          <w:szCs w:val="24"/>
        </w:rPr>
        <w:t>除第二章“投标人须知”前附表授权直接确定中标人外，评标委员会按照</w:t>
      </w:r>
      <w:r>
        <w:rPr>
          <w:sz w:val="24"/>
          <w:szCs w:val="24"/>
        </w:rPr>
        <w:t>得分由高到低的顺序推荐中标候选人，并标明排序 。</w:t>
      </w:r>
    </w:p>
    <w:p>
      <w:pPr>
        <w:pStyle w:val="16"/>
        <w:numPr>
          <w:ilvl w:val="2"/>
          <w:numId w:val="13"/>
        </w:numPr>
        <w:tabs>
          <w:tab w:val="left" w:pos="1751"/>
          <w:tab w:val="left" w:pos="1752"/>
        </w:tabs>
        <w:spacing w:before="0" w:after="0" w:line="307" w:lineRule="exact"/>
        <w:ind w:left="1752" w:right="0" w:hanging="841"/>
        <w:jc w:val="left"/>
        <w:rPr>
          <w:sz w:val="24"/>
          <w:szCs w:val="24"/>
        </w:rPr>
      </w:pPr>
      <w:r>
        <w:rPr>
          <w:sz w:val="24"/>
          <w:szCs w:val="24"/>
        </w:rPr>
        <w:t>评标委员会完成评标后，应向招标人提交书面评标报告。</w:t>
      </w:r>
    </w:p>
    <w:p>
      <w:pPr>
        <w:pStyle w:val="2"/>
        <w:ind w:left="0" w:leftChars="0" w:firstLine="0" w:firstLineChars="0"/>
        <w:rPr>
          <w:rFonts w:hint="eastAsia" w:ascii="楷体" w:hAnsi="楷体" w:eastAsia="楷体" w:cs="楷体"/>
          <w:color w:val="000000" w:themeColor="text1"/>
          <w:sz w:val="24"/>
          <w:szCs w:val="24"/>
          <w:lang w:eastAsia="zh-CN"/>
          <w14:textFill>
            <w14:solidFill>
              <w14:schemeClr w14:val="tx1"/>
            </w14:solidFill>
          </w14:textFill>
        </w:rPr>
      </w:pPr>
    </w:p>
    <w:p>
      <w:pPr>
        <w:pStyle w:val="2"/>
        <w:ind w:left="0" w:leftChars="0" w:firstLine="0" w:firstLineChars="0"/>
        <w:rPr>
          <w:rFonts w:hint="eastAsia" w:ascii="楷体" w:hAnsi="楷体" w:eastAsia="楷体" w:cs="楷体"/>
          <w:color w:val="000000" w:themeColor="text1"/>
          <w:sz w:val="24"/>
          <w:szCs w:val="24"/>
          <w:lang w:eastAsia="zh-CN"/>
          <w14:textFill>
            <w14:solidFill>
              <w14:schemeClr w14:val="tx1"/>
            </w14:solidFill>
          </w14:textFill>
        </w:rPr>
      </w:pPr>
    </w:p>
    <w:p>
      <w:pPr>
        <w:pStyle w:val="2"/>
        <w:ind w:left="0" w:leftChars="0" w:firstLine="0" w:firstLineChars="0"/>
        <w:rPr>
          <w:rFonts w:hint="eastAsia" w:ascii="楷体" w:hAnsi="楷体" w:eastAsia="楷体" w:cs="楷体"/>
          <w:color w:val="000000" w:themeColor="text1"/>
          <w:sz w:val="24"/>
          <w:szCs w:val="24"/>
          <w:lang w:eastAsia="zh-CN"/>
          <w14:textFill>
            <w14:solidFill>
              <w14:schemeClr w14:val="tx1"/>
            </w14:solidFill>
          </w14:textFill>
        </w:rPr>
      </w:pPr>
    </w:p>
    <w:p>
      <w:pPr>
        <w:pStyle w:val="2"/>
        <w:ind w:left="0" w:leftChars="0" w:firstLine="0" w:firstLineChars="0"/>
        <w:rPr>
          <w:rFonts w:hint="eastAsia" w:ascii="楷体" w:hAnsi="楷体" w:eastAsia="楷体" w:cs="楷体"/>
          <w:color w:val="000000" w:themeColor="text1"/>
          <w:sz w:val="24"/>
          <w:szCs w:val="24"/>
          <w:lang w:eastAsia="zh-CN"/>
          <w14:textFill>
            <w14:solidFill>
              <w14:schemeClr w14:val="tx1"/>
            </w14:solidFill>
          </w14:textFill>
        </w:rPr>
      </w:pPr>
    </w:p>
    <w:p>
      <w:pPr>
        <w:pStyle w:val="2"/>
        <w:ind w:left="3360" w:leftChars="1600" w:firstLine="0" w:firstLineChars="0"/>
        <w:jc w:val="both"/>
        <w:rPr>
          <w:rFonts w:hint="eastAsia" w:ascii="宋体" w:hAnsi="宋体" w:eastAsia="宋体" w:cs="宋体"/>
          <w:color w:val="000000"/>
          <w:spacing w:val="0"/>
          <w:w w:val="100"/>
          <w:kern w:val="2"/>
          <w:position w:val="0"/>
          <w:sz w:val="24"/>
          <w:szCs w:val="24"/>
          <w:u w:val="none"/>
          <w:shd w:val="clear" w:color="auto" w:fill="auto"/>
          <w:lang w:val="en-US" w:eastAsia="zh-CN" w:bidi="zh-TW"/>
        </w:rPr>
      </w:pPr>
      <w:r>
        <w:rPr>
          <w:rFonts w:hint="eastAsia" w:ascii="宋体" w:hAnsi="宋体" w:eastAsia="宋体" w:cs="宋体"/>
          <w:color w:val="000000"/>
          <w:spacing w:val="0"/>
          <w:w w:val="100"/>
          <w:kern w:val="2"/>
          <w:position w:val="0"/>
          <w:sz w:val="24"/>
          <w:szCs w:val="24"/>
          <w:u w:val="none"/>
          <w:shd w:val="clear" w:color="auto" w:fill="auto"/>
          <w:lang w:val="zh-TW" w:eastAsia="zh-CN" w:bidi="zh-TW"/>
        </w:rPr>
        <w:t>招</w:t>
      </w:r>
      <w:r>
        <w:rPr>
          <w:rFonts w:hint="eastAsia" w:ascii="宋体" w:hAnsi="宋体" w:eastAsia="宋体" w:cs="宋体"/>
          <w:color w:val="000000"/>
          <w:spacing w:val="0"/>
          <w:w w:val="100"/>
          <w:kern w:val="2"/>
          <w:position w:val="0"/>
          <w:sz w:val="24"/>
          <w:szCs w:val="24"/>
          <w:u w:val="none"/>
          <w:shd w:val="clear" w:color="auto" w:fill="auto"/>
          <w:lang w:val="en-US" w:eastAsia="zh-CN" w:bidi="zh-TW"/>
        </w:rPr>
        <w:t xml:space="preserve">   </w:t>
      </w:r>
      <w:r>
        <w:rPr>
          <w:rFonts w:hint="eastAsia" w:ascii="宋体" w:hAnsi="宋体" w:eastAsia="宋体" w:cs="宋体"/>
          <w:color w:val="000000"/>
          <w:spacing w:val="0"/>
          <w:w w:val="100"/>
          <w:kern w:val="2"/>
          <w:position w:val="0"/>
          <w:sz w:val="24"/>
          <w:szCs w:val="24"/>
          <w:u w:val="none"/>
          <w:shd w:val="clear" w:color="auto" w:fill="auto"/>
          <w:lang w:val="zh-TW" w:eastAsia="zh-CN" w:bidi="zh-TW"/>
        </w:rPr>
        <w:t>标</w:t>
      </w:r>
      <w:r>
        <w:rPr>
          <w:rFonts w:hint="eastAsia" w:ascii="宋体" w:hAnsi="宋体" w:eastAsia="宋体" w:cs="宋体"/>
          <w:color w:val="000000"/>
          <w:spacing w:val="0"/>
          <w:w w:val="100"/>
          <w:kern w:val="2"/>
          <w:position w:val="0"/>
          <w:sz w:val="24"/>
          <w:szCs w:val="24"/>
          <w:u w:val="none"/>
          <w:shd w:val="clear" w:color="auto" w:fill="auto"/>
          <w:lang w:val="en-US" w:eastAsia="zh-CN" w:bidi="zh-TW"/>
        </w:rPr>
        <w:t xml:space="preserve">   </w:t>
      </w:r>
      <w:r>
        <w:rPr>
          <w:rFonts w:hint="eastAsia" w:ascii="宋体" w:hAnsi="宋体" w:eastAsia="宋体" w:cs="宋体"/>
          <w:color w:val="000000"/>
          <w:spacing w:val="0"/>
          <w:w w:val="100"/>
          <w:kern w:val="2"/>
          <w:position w:val="0"/>
          <w:sz w:val="24"/>
          <w:szCs w:val="24"/>
          <w:u w:val="none"/>
          <w:shd w:val="clear" w:color="auto" w:fill="auto"/>
          <w:lang w:val="zh-TW" w:eastAsia="zh-CN" w:bidi="zh-TW"/>
        </w:rPr>
        <w:t>人：留坝县交通运输局</w:t>
      </w:r>
    </w:p>
    <w:p>
      <w:pPr>
        <w:pStyle w:val="2"/>
        <w:ind w:left="3360" w:leftChars="1600" w:firstLine="0" w:firstLineChars="0"/>
        <w:jc w:val="both"/>
        <w:rPr>
          <w:rFonts w:hint="eastAsia" w:ascii="宋体" w:hAnsi="宋体" w:eastAsia="宋体" w:cs="宋体"/>
          <w:color w:val="000000"/>
          <w:spacing w:val="0"/>
          <w:w w:val="100"/>
          <w:kern w:val="2"/>
          <w:position w:val="0"/>
          <w:sz w:val="24"/>
          <w:szCs w:val="24"/>
          <w:u w:val="none"/>
          <w:shd w:val="clear" w:color="auto" w:fill="auto"/>
          <w:lang w:val="zh-TW" w:eastAsia="zh-CN" w:bidi="zh-TW"/>
        </w:rPr>
      </w:pPr>
    </w:p>
    <w:p>
      <w:pPr>
        <w:pStyle w:val="8"/>
        <w:keepNext w:val="0"/>
        <w:keepLines w:val="0"/>
        <w:widowControl/>
        <w:suppressLineNumbers w:val="0"/>
        <w:spacing w:beforeAutospacing="1" w:afterAutospacing="1"/>
        <w:ind w:left="3360" w:leftChars="1600" w:firstLine="0" w:firstLineChars="0"/>
        <w:jc w:val="both"/>
        <w:rPr>
          <w:rFonts w:hint="eastAsia" w:ascii="宋体" w:hAnsi="宋体" w:eastAsia="宋体" w:cs="宋体"/>
          <w:color w:val="000000"/>
          <w:spacing w:val="0"/>
          <w:w w:val="100"/>
          <w:kern w:val="2"/>
          <w:position w:val="0"/>
          <w:sz w:val="24"/>
          <w:szCs w:val="24"/>
          <w:u w:val="none"/>
          <w:shd w:val="clear" w:color="auto" w:fill="auto"/>
          <w:lang w:val="en-US" w:eastAsia="zh-CN"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招标代理机构：</w:t>
      </w:r>
      <w:r>
        <w:rPr>
          <w:rFonts w:hint="eastAsia" w:ascii="宋体" w:hAnsi="宋体" w:eastAsia="宋体" w:cs="宋体"/>
          <w:color w:val="000000"/>
          <w:spacing w:val="0"/>
          <w:w w:val="100"/>
          <w:kern w:val="2"/>
          <w:position w:val="0"/>
          <w:sz w:val="24"/>
          <w:szCs w:val="24"/>
          <w:u w:val="none"/>
          <w:shd w:val="clear" w:color="auto" w:fill="auto"/>
          <w:lang w:val="zh-TW" w:eastAsia="zh-CN" w:bidi="zh-TW"/>
        </w:rPr>
        <w:t>陕西博锐特项目管理有限公司</w:t>
      </w:r>
    </w:p>
    <w:p>
      <w:pPr>
        <w:pStyle w:val="8"/>
        <w:keepNext w:val="0"/>
        <w:keepLines w:val="0"/>
        <w:widowControl/>
        <w:suppressLineNumbers w:val="0"/>
        <w:spacing w:beforeAutospacing="1" w:afterAutospacing="1"/>
        <w:ind w:left="3360" w:leftChars="1600" w:firstLine="0" w:firstLineChars="0"/>
        <w:jc w:val="both"/>
        <w:rPr>
          <w:rFonts w:hint="eastAsia" w:ascii="宋体" w:hAnsi="宋体" w:eastAsia="宋体" w:cs="宋体"/>
          <w:color w:val="000000"/>
          <w:spacing w:val="0"/>
          <w:w w:val="100"/>
          <w:kern w:val="2"/>
          <w:position w:val="0"/>
          <w:sz w:val="24"/>
          <w:szCs w:val="24"/>
          <w:u w:val="none"/>
          <w:shd w:val="clear" w:color="auto" w:fill="auto"/>
          <w:lang w:val="en-US" w:eastAsia="zh-CN" w:bidi="zh-TW"/>
        </w:rPr>
      </w:pPr>
    </w:p>
    <w:p>
      <w:pPr>
        <w:pStyle w:val="8"/>
        <w:keepNext w:val="0"/>
        <w:keepLines w:val="0"/>
        <w:widowControl/>
        <w:suppressLineNumbers w:val="0"/>
        <w:spacing w:beforeAutospacing="1" w:afterAutospacing="1"/>
        <w:jc w:val="right"/>
        <w:rPr>
          <w:rFonts w:hint="eastAsia" w:ascii="宋体" w:hAnsi="宋体" w:eastAsia="宋体" w:cs="宋体"/>
          <w:color w:val="000000"/>
          <w:spacing w:val="0"/>
          <w:w w:val="100"/>
          <w:kern w:val="2"/>
          <w:position w:val="0"/>
          <w:sz w:val="24"/>
          <w:szCs w:val="24"/>
          <w:u w:val="none"/>
          <w:shd w:val="clear" w:color="auto" w:fill="auto"/>
          <w:lang w:val="en-US" w:eastAsia="zh-CN"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xml:space="preserve"> 年   月   日</w:t>
      </w:r>
    </w:p>
    <w:p>
      <w:pPr>
        <w:pStyle w:val="8"/>
        <w:keepNext w:val="0"/>
        <w:keepLines w:val="0"/>
        <w:widowControl/>
        <w:suppressLineNumbers w:val="0"/>
        <w:spacing w:beforeAutospacing="1" w:afterAutospacing="1"/>
        <w:jc w:val="right"/>
        <w:rPr>
          <w:rFonts w:hint="eastAsia" w:ascii="楷体" w:hAnsi="楷体" w:eastAsia="楷体" w:cs="楷体"/>
          <w:color w:val="000000" w:themeColor="text1"/>
          <w:kern w:val="2"/>
          <w:sz w:val="24"/>
          <w:szCs w:val="24"/>
          <w:lang w:val="en-US" w:eastAsia="zh-CN" w:bidi="ar-SA"/>
          <w14:textFill>
            <w14:solidFill>
              <w14:schemeClr w14:val="tx1"/>
            </w14:solidFill>
          </w14:textFill>
        </w:rPr>
      </w:pPr>
    </w:p>
    <w:p>
      <w:pPr>
        <w:pStyle w:val="8"/>
        <w:keepNext w:val="0"/>
        <w:keepLines w:val="0"/>
        <w:widowControl/>
        <w:suppressLineNumbers w:val="0"/>
        <w:spacing w:beforeAutospacing="1" w:afterAutospacing="1"/>
        <w:jc w:val="left"/>
        <w:rPr>
          <w:rFonts w:hint="eastAsia" w:ascii="楷体" w:hAnsi="楷体" w:eastAsia="楷体" w:cs="楷体"/>
          <w:color w:val="000000" w:themeColor="text1"/>
          <w:kern w:val="2"/>
          <w:sz w:val="24"/>
          <w:szCs w:val="24"/>
          <w:lang w:val="en-US" w:eastAsia="zh-CN" w:bidi="ar-SA"/>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CD717A"/>
    <w:multiLevelType w:val="multilevel"/>
    <w:tmpl w:val="98CD717A"/>
    <w:lvl w:ilvl="0" w:tentative="0">
      <w:start w:val="1"/>
      <w:numFmt w:val="decimal"/>
      <w:lvlText w:val="（%1）"/>
      <w:lvlJc w:val="left"/>
      <w:pPr>
        <w:ind w:left="625" w:hanging="518"/>
        <w:jc w:val="left"/>
      </w:pPr>
      <w:rPr>
        <w:rFonts w:hint="default" w:ascii="宋体" w:hAnsi="宋体" w:eastAsia="宋体" w:cs="宋体"/>
        <w:spacing w:val="-4"/>
        <w:w w:val="99"/>
        <w:sz w:val="19"/>
        <w:szCs w:val="19"/>
        <w:lang w:val="zh-CN" w:eastAsia="zh-CN" w:bidi="zh-CN"/>
      </w:rPr>
    </w:lvl>
    <w:lvl w:ilvl="1" w:tentative="0">
      <w:start w:val="0"/>
      <w:numFmt w:val="bullet"/>
      <w:lvlText w:val="•"/>
      <w:lvlJc w:val="left"/>
      <w:pPr>
        <w:ind w:left="1265" w:hanging="518"/>
      </w:pPr>
      <w:rPr>
        <w:rFonts w:hint="default"/>
        <w:lang w:val="zh-CN" w:eastAsia="zh-CN" w:bidi="zh-CN"/>
      </w:rPr>
    </w:lvl>
    <w:lvl w:ilvl="2" w:tentative="0">
      <w:start w:val="0"/>
      <w:numFmt w:val="bullet"/>
      <w:lvlText w:val="•"/>
      <w:lvlJc w:val="left"/>
      <w:pPr>
        <w:ind w:left="1911" w:hanging="518"/>
      </w:pPr>
      <w:rPr>
        <w:rFonts w:hint="default"/>
        <w:lang w:val="zh-CN" w:eastAsia="zh-CN" w:bidi="zh-CN"/>
      </w:rPr>
    </w:lvl>
    <w:lvl w:ilvl="3" w:tentative="0">
      <w:start w:val="0"/>
      <w:numFmt w:val="bullet"/>
      <w:lvlText w:val="•"/>
      <w:lvlJc w:val="left"/>
      <w:pPr>
        <w:ind w:left="2557" w:hanging="518"/>
      </w:pPr>
      <w:rPr>
        <w:rFonts w:hint="default"/>
        <w:lang w:val="zh-CN" w:eastAsia="zh-CN" w:bidi="zh-CN"/>
      </w:rPr>
    </w:lvl>
    <w:lvl w:ilvl="4" w:tentative="0">
      <w:start w:val="0"/>
      <w:numFmt w:val="bullet"/>
      <w:lvlText w:val="•"/>
      <w:lvlJc w:val="left"/>
      <w:pPr>
        <w:ind w:left="3202" w:hanging="518"/>
      </w:pPr>
      <w:rPr>
        <w:rFonts w:hint="default"/>
        <w:lang w:val="zh-CN" w:eastAsia="zh-CN" w:bidi="zh-CN"/>
      </w:rPr>
    </w:lvl>
    <w:lvl w:ilvl="5" w:tentative="0">
      <w:start w:val="0"/>
      <w:numFmt w:val="bullet"/>
      <w:lvlText w:val="•"/>
      <w:lvlJc w:val="left"/>
      <w:pPr>
        <w:ind w:left="3848" w:hanging="518"/>
      </w:pPr>
      <w:rPr>
        <w:rFonts w:hint="default"/>
        <w:lang w:val="zh-CN" w:eastAsia="zh-CN" w:bidi="zh-CN"/>
      </w:rPr>
    </w:lvl>
    <w:lvl w:ilvl="6" w:tentative="0">
      <w:start w:val="0"/>
      <w:numFmt w:val="bullet"/>
      <w:lvlText w:val="•"/>
      <w:lvlJc w:val="left"/>
      <w:pPr>
        <w:ind w:left="4494" w:hanging="518"/>
      </w:pPr>
      <w:rPr>
        <w:rFonts w:hint="default"/>
        <w:lang w:val="zh-CN" w:eastAsia="zh-CN" w:bidi="zh-CN"/>
      </w:rPr>
    </w:lvl>
    <w:lvl w:ilvl="7" w:tentative="0">
      <w:start w:val="0"/>
      <w:numFmt w:val="bullet"/>
      <w:lvlText w:val="•"/>
      <w:lvlJc w:val="left"/>
      <w:pPr>
        <w:ind w:left="5139" w:hanging="518"/>
      </w:pPr>
      <w:rPr>
        <w:rFonts w:hint="default"/>
        <w:lang w:val="zh-CN" w:eastAsia="zh-CN" w:bidi="zh-CN"/>
      </w:rPr>
    </w:lvl>
    <w:lvl w:ilvl="8" w:tentative="0">
      <w:start w:val="0"/>
      <w:numFmt w:val="bullet"/>
      <w:lvlText w:val="•"/>
      <w:lvlJc w:val="left"/>
      <w:pPr>
        <w:ind w:left="5785" w:hanging="518"/>
      </w:pPr>
      <w:rPr>
        <w:rFonts w:hint="default"/>
        <w:lang w:val="zh-CN" w:eastAsia="zh-CN" w:bidi="zh-CN"/>
      </w:rPr>
    </w:lvl>
  </w:abstractNum>
  <w:abstractNum w:abstractNumId="1">
    <w:nsid w:val="9C7198AA"/>
    <w:multiLevelType w:val="multilevel"/>
    <w:tmpl w:val="9C7198AA"/>
    <w:lvl w:ilvl="0" w:tentative="0">
      <w:start w:val="3"/>
      <w:numFmt w:val="decimal"/>
      <w:lvlText w:val="%1"/>
      <w:lvlJc w:val="left"/>
      <w:pPr>
        <w:ind w:left="1032" w:hanging="600"/>
        <w:jc w:val="left"/>
      </w:pPr>
      <w:rPr>
        <w:rFonts w:hint="default"/>
        <w:lang w:val="zh-CN" w:eastAsia="zh-CN" w:bidi="zh-CN"/>
      </w:rPr>
    </w:lvl>
    <w:lvl w:ilvl="1" w:tentative="0">
      <w:start w:val="1"/>
      <w:numFmt w:val="decimal"/>
      <w:lvlText w:val="%1.%2"/>
      <w:lvlJc w:val="left"/>
      <w:pPr>
        <w:ind w:left="1032" w:hanging="60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636" w:hanging="723"/>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636" w:hanging="723"/>
      </w:pPr>
      <w:rPr>
        <w:rFonts w:hint="default"/>
        <w:lang w:val="zh-CN" w:eastAsia="zh-CN" w:bidi="zh-CN"/>
      </w:rPr>
    </w:lvl>
    <w:lvl w:ilvl="4" w:tentative="0">
      <w:start w:val="0"/>
      <w:numFmt w:val="bullet"/>
      <w:lvlText w:val="•"/>
      <w:lvlJc w:val="left"/>
      <w:pPr>
        <w:ind w:left="3632" w:hanging="723"/>
      </w:pPr>
      <w:rPr>
        <w:rFonts w:hint="default"/>
        <w:lang w:val="zh-CN" w:eastAsia="zh-CN" w:bidi="zh-CN"/>
      </w:rPr>
    </w:lvl>
    <w:lvl w:ilvl="5" w:tentative="0">
      <w:start w:val="0"/>
      <w:numFmt w:val="bullet"/>
      <w:lvlText w:val="•"/>
      <w:lvlJc w:val="left"/>
      <w:pPr>
        <w:ind w:left="4628" w:hanging="723"/>
      </w:pPr>
      <w:rPr>
        <w:rFonts w:hint="default"/>
        <w:lang w:val="zh-CN" w:eastAsia="zh-CN" w:bidi="zh-CN"/>
      </w:rPr>
    </w:lvl>
    <w:lvl w:ilvl="6" w:tentative="0">
      <w:start w:val="0"/>
      <w:numFmt w:val="bullet"/>
      <w:lvlText w:val="•"/>
      <w:lvlJc w:val="left"/>
      <w:pPr>
        <w:ind w:left="5625" w:hanging="723"/>
      </w:pPr>
      <w:rPr>
        <w:rFonts w:hint="default"/>
        <w:lang w:val="zh-CN" w:eastAsia="zh-CN" w:bidi="zh-CN"/>
      </w:rPr>
    </w:lvl>
    <w:lvl w:ilvl="7" w:tentative="0">
      <w:start w:val="0"/>
      <w:numFmt w:val="bullet"/>
      <w:lvlText w:val="•"/>
      <w:lvlJc w:val="left"/>
      <w:pPr>
        <w:ind w:left="6621" w:hanging="723"/>
      </w:pPr>
      <w:rPr>
        <w:rFonts w:hint="default"/>
        <w:lang w:val="zh-CN" w:eastAsia="zh-CN" w:bidi="zh-CN"/>
      </w:rPr>
    </w:lvl>
    <w:lvl w:ilvl="8" w:tentative="0">
      <w:start w:val="0"/>
      <w:numFmt w:val="bullet"/>
      <w:lvlText w:val="•"/>
      <w:lvlJc w:val="left"/>
      <w:pPr>
        <w:ind w:left="7617" w:hanging="723"/>
      </w:pPr>
      <w:rPr>
        <w:rFonts w:hint="default"/>
        <w:lang w:val="zh-CN" w:eastAsia="zh-CN" w:bidi="zh-CN"/>
      </w:rPr>
    </w:lvl>
  </w:abstractNum>
  <w:abstractNum w:abstractNumId="2">
    <w:nsid w:val="9DFC6F65"/>
    <w:multiLevelType w:val="multilevel"/>
    <w:tmpl w:val="9DFC6F65"/>
    <w:lvl w:ilvl="0" w:tentative="0">
      <w:start w:val="1"/>
      <w:numFmt w:val="lowerLetter"/>
      <w:lvlText w:val="（%1）"/>
      <w:lvlJc w:val="left"/>
      <w:pPr>
        <w:ind w:left="63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872" w:hanging="525"/>
      </w:pPr>
      <w:rPr>
        <w:rFonts w:hint="default"/>
        <w:lang w:val="zh-CN" w:eastAsia="zh-CN" w:bidi="zh-CN"/>
      </w:rPr>
    </w:lvl>
    <w:lvl w:ilvl="2" w:tentative="0">
      <w:start w:val="0"/>
      <w:numFmt w:val="bullet"/>
      <w:lvlText w:val="•"/>
      <w:lvlJc w:val="left"/>
      <w:pPr>
        <w:ind w:left="1105" w:hanging="525"/>
      </w:pPr>
      <w:rPr>
        <w:rFonts w:hint="default"/>
        <w:lang w:val="zh-CN" w:eastAsia="zh-CN" w:bidi="zh-CN"/>
      </w:rPr>
    </w:lvl>
    <w:lvl w:ilvl="3" w:tentative="0">
      <w:start w:val="0"/>
      <w:numFmt w:val="bullet"/>
      <w:lvlText w:val="•"/>
      <w:lvlJc w:val="left"/>
      <w:pPr>
        <w:ind w:left="1337" w:hanging="525"/>
      </w:pPr>
      <w:rPr>
        <w:rFonts w:hint="default"/>
        <w:lang w:val="zh-CN" w:eastAsia="zh-CN" w:bidi="zh-CN"/>
      </w:rPr>
    </w:lvl>
    <w:lvl w:ilvl="4" w:tentative="0">
      <w:start w:val="0"/>
      <w:numFmt w:val="bullet"/>
      <w:lvlText w:val="•"/>
      <w:lvlJc w:val="left"/>
      <w:pPr>
        <w:ind w:left="1570" w:hanging="525"/>
      </w:pPr>
      <w:rPr>
        <w:rFonts w:hint="default"/>
        <w:lang w:val="zh-CN" w:eastAsia="zh-CN" w:bidi="zh-CN"/>
      </w:rPr>
    </w:lvl>
    <w:lvl w:ilvl="5" w:tentative="0">
      <w:start w:val="0"/>
      <w:numFmt w:val="bullet"/>
      <w:lvlText w:val="•"/>
      <w:lvlJc w:val="left"/>
      <w:pPr>
        <w:ind w:left="1803" w:hanging="525"/>
      </w:pPr>
      <w:rPr>
        <w:rFonts w:hint="default"/>
        <w:lang w:val="zh-CN" w:eastAsia="zh-CN" w:bidi="zh-CN"/>
      </w:rPr>
    </w:lvl>
    <w:lvl w:ilvl="6" w:tentative="0">
      <w:start w:val="0"/>
      <w:numFmt w:val="bullet"/>
      <w:lvlText w:val="•"/>
      <w:lvlJc w:val="left"/>
      <w:pPr>
        <w:ind w:left="2035" w:hanging="525"/>
      </w:pPr>
      <w:rPr>
        <w:rFonts w:hint="default"/>
        <w:lang w:val="zh-CN" w:eastAsia="zh-CN" w:bidi="zh-CN"/>
      </w:rPr>
    </w:lvl>
    <w:lvl w:ilvl="7" w:tentative="0">
      <w:start w:val="0"/>
      <w:numFmt w:val="bullet"/>
      <w:lvlText w:val="•"/>
      <w:lvlJc w:val="left"/>
      <w:pPr>
        <w:ind w:left="2268" w:hanging="525"/>
      </w:pPr>
      <w:rPr>
        <w:rFonts w:hint="default"/>
        <w:lang w:val="zh-CN" w:eastAsia="zh-CN" w:bidi="zh-CN"/>
      </w:rPr>
    </w:lvl>
    <w:lvl w:ilvl="8" w:tentative="0">
      <w:start w:val="0"/>
      <w:numFmt w:val="bullet"/>
      <w:lvlText w:val="•"/>
      <w:lvlJc w:val="left"/>
      <w:pPr>
        <w:ind w:left="2500" w:hanging="525"/>
      </w:pPr>
      <w:rPr>
        <w:rFonts w:hint="default"/>
        <w:lang w:val="zh-CN" w:eastAsia="zh-CN" w:bidi="zh-CN"/>
      </w:rPr>
    </w:lvl>
  </w:abstractNum>
  <w:abstractNum w:abstractNumId="3">
    <w:nsid w:val="CD699D1D"/>
    <w:multiLevelType w:val="multilevel"/>
    <w:tmpl w:val="CD699D1D"/>
    <w:lvl w:ilvl="0" w:tentative="0">
      <w:start w:val="2"/>
      <w:numFmt w:val="decimal"/>
      <w:lvlText w:val="（%1）"/>
      <w:lvlJc w:val="left"/>
      <w:pPr>
        <w:ind w:left="151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29" w:hanging="601"/>
      </w:pPr>
      <w:rPr>
        <w:rFonts w:hint="default"/>
        <w:lang w:val="zh-CN" w:eastAsia="zh-CN" w:bidi="zh-CN"/>
      </w:rPr>
    </w:lvl>
    <w:lvl w:ilvl="2" w:tentative="0">
      <w:start w:val="0"/>
      <w:numFmt w:val="bullet"/>
      <w:lvlText w:val="•"/>
      <w:lvlJc w:val="left"/>
      <w:pPr>
        <w:ind w:left="3138" w:hanging="601"/>
      </w:pPr>
      <w:rPr>
        <w:rFonts w:hint="default"/>
        <w:lang w:val="zh-CN" w:eastAsia="zh-CN" w:bidi="zh-CN"/>
      </w:rPr>
    </w:lvl>
    <w:lvl w:ilvl="3" w:tentative="0">
      <w:start w:val="0"/>
      <w:numFmt w:val="bullet"/>
      <w:lvlText w:val="•"/>
      <w:lvlJc w:val="left"/>
      <w:pPr>
        <w:ind w:left="3947" w:hanging="601"/>
      </w:pPr>
      <w:rPr>
        <w:rFonts w:hint="default"/>
        <w:lang w:val="zh-CN" w:eastAsia="zh-CN" w:bidi="zh-CN"/>
      </w:rPr>
    </w:lvl>
    <w:lvl w:ilvl="4" w:tentative="0">
      <w:start w:val="0"/>
      <w:numFmt w:val="bullet"/>
      <w:lvlText w:val="•"/>
      <w:lvlJc w:val="left"/>
      <w:pPr>
        <w:ind w:left="4756" w:hanging="601"/>
      </w:pPr>
      <w:rPr>
        <w:rFonts w:hint="default"/>
        <w:lang w:val="zh-CN" w:eastAsia="zh-CN" w:bidi="zh-CN"/>
      </w:rPr>
    </w:lvl>
    <w:lvl w:ilvl="5" w:tentative="0">
      <w:start w:val="0"/>
      <w:numFmt w:val="bullet"/>
      <w:lvlText w:val="•"/>
      <w:lvlJc w:val="left"/>
      <w:pPr>
        <w:ind w:left="5565" w:hanging="601"/>
      </w:pPr>
      <w:rPr>
        <w:rFonts w:hint="default"/>
        <w:lang w:val="zh-CN" w:eastAsia="zh-CN" w:bidi="zh-CN"/>
      </w:rPr>
    </w:lvl>
    <w:lvl w:ilvl="6" w:tentative="0">
      <w:start w:val="0"/>
      <w:numFmt w:val="bullet"/>
      <w:lvlText w:val="•"/>
      <w:lvlJc w:val="left"/>
      <w:pPr>
        <w:ind w:left="6374" w:hanging="601"/>
      </w:pPr>
      <w:rPr>
        <w:rFonts w:hint="default"/>
        <w:lang w:val="zh-CN" w:eastAsia="zh-CN" w:bidi="zh-CN"/>
      </w:rPr>
    </w:lvl>
    <w:lvl w:ilvl="7" w:tentative="0">
      <w:start w:val="0"/>
      <w:numFmt w:val="bullet"/>
      <w:lvlText w:val="•"/>
      <w:lvlJc w:val="left"/>
      <w:pPr>
        <w:ind w:left="7183" w:hanging="601"/>
      </w:pPr>
      <w:rPr>
        <w:rFonts w:hint="default"/>
        <w:lang w:val="zh-CN" w:eastAsia="zh-CN" w:bidi="zh-CN"/>
      </w:rPr>
    </w:lvl>
    <w:lvl w:ilvl="8" w:tentative="0">
      <w:start w:val="0"/>
      <w:numFmt w:val="bullet"/>
      <w:lvlText w:val="•"/>
      <w:lvlJc w:val="left"/>
      <w:pPr>
        <w:ind w:left="7992" w:hanging="601"/>
      </w:pPr>
      <w:rPr>
        <w:rFonts w:hint="default"/>
        <w:lang w:val="zh-CN" w:eastAsia="zh-CN" w:bidi="zh-CN"/>
      </w:rPr>
    </w:lvl>
  </w:abstractNum>
  <w:abstractNum w:abstractNumId="4">
    <w:nsid w:val="F3A33954"/>
    <w:multiLevelType w:val="multilevel"/>
    <w:tmpl w:val="F3A33954"/>
    <w:lvl w:ilvl="0" w:tentative="0">
      <w:start w:val="1"/>
      <w:numFmt w:val="decimal"/>
      <w:lvlText w:val="（%1）"/>
      <w:lvlJc w:val="left"/>
      <w:pPr>
        <w:ind w:left="632" w:hanging="525"/>
        <w:jc w:val="left"/>
      </w:pPr>
      <w:rPr>
        <w:rFonts w:hint="default" w:ascii="宋体" w:hAnsi="宋体" w:eastAsia="宋体" w:cs="宋体"/>
        <w:spacing w:val="-1"/>
        <w:w w:val="99"/>
        <w:sz w:val="19"/>
        <w:szCs w:val="19"/>
        <w:lang w:val="zh-CN" w:eastAsia="zh-CN" w:bidi="zh-CN"/>
      </w:rPr>
    </w:lvl>
    <w:lvl w:ilvl="1" w:tentative="0">
      <w:start w:val="1"/>
      <w:numFmt w:val="lowerLetter"/>
      <w:lvlText w:val="%2."/>
      <w:lvlJc w:val="left"/>
      <w:pPr>
        <w:ind w:left="209" w:hanging="212"/>
        <w:jc w:val="left"/>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1355" w:hanging="212"/>
      </w:pPr>
      <w:rPr>
        <w:rFonts w:hint="default"/>
        <w:lang w:val="zh-CN" w:eastAsia="zh-CN" w:bidi="zh-CN"/>
      </w:rPr>
    </w:lvl>
    <w:lvl w:ilvl="3" w:tentative="0">
      <w:start w:val="0"/>
      <w:numFmt w:val="bullet"/>
      <w:lvlText w:val="•"/>
      <w:lvlJc w:val="left"/>
      <w:pPr>
        <w:ind w:left="2070" w:hanging="212"/>
      </w:pPr>
      <w:rPr>
        <w:rFonts w:hint="default"/>
        <w:lang w:val="zh-CN" w:eastAsia="zh-CN" w:bidi="zh-CN"/>
      </w:rPr>
    </w:lvl>
    <w:lvl w:ilvl="4" w:tentative="0">
      <w:start w:val="0"/>
      <w:numFmt w:val="bullet"/>
      <w:lvlText w:val="•"/>
      <w:lvlJc w:val="left"/>
      <w:pPr>
        <w:ind w:left="2785" w:hanging="212"/>
      </w:pPr>
      <w:rPr>
        <w:rFonts w:hint="default"/>
        <w:lang w:val="zh-CN" w:eastAsia="zh-CN" w:bidi="zh-CN"/>
      </w:rPr>
    </w:lvl>
    <w:lvl w:ilvl="5" w:tentative="0">
      <w:start w:val="0"/>
      <w:numFmt w:val="bullet"/>
      <w:lvlText w:val="•"/>
      <w:lvlJc w:val="left"/>
      <w:pPr>
        <w:ind w:left="3500" w:hanging="212"/>
      </w:pPr>
      <w:rPr>
        <w:rFonts w:hint="default"/>
        <w:lang w:val="zh-CN" w:eastAsia="zh-CN" w:bidi="zh-CN"/>
      </w:rPr>
    </w:lvl>
    <w:lvl w:ilvl="6" w:tentative="0">
      <w:start w:val="0"/>
      <w:numFmt w:val="bullet"/>
      <w:lvlText w:val="•"/>
      <w:lvlJc w:val="left"/>
      <w:pPr>
        <w:ind w:left="4216" w:hanging="212"/>
      </w:pPr>
      <w:rPr>
        <w:rFonts w:hint="default"/>
        <w:lang w:val="zh-CN" w:eastAsia="zh-CN" w:bidi="zh-CN"/>
      </w:rPr>
    </w:lvl>
    <w:lvl w:ilvl="7" w:tentative="0">
      <w:start w:val="0"/>
      <w:numFmt w:val="bullet"/>
      <w:lvlText w:val="•"/>
      <w:lvlJc w:val="left"/>
      <w:pPr>
        <w:ind w:left="4931" w:hanging="212"/>
      </w:pPr>
      <w:rPr>
        <w:rFonts w:hint="default"/>
        <w:lang w:val="zh-CN" w:eastAsia="zh-CN" w:bidi="zh-CN"/>
      </w:rPr>
    </w:lvl>
    <w:lvl w:ilvl="8" w:tentative="0">
      <w:start w:val="0"/>
      <w:numFmt w:val="bullet"/>
      <w:lvlText w:val="•"/>
      <w:lvlJc w:val="left"/>
      <w:pPr>
        <w:ind w:left="5646" w:hanging="212"/>
      </w:pPr>
      <w:rPr>
        <w:rFonts w:hint="default"/>
        <w:lang w:val="zh-CN" w:eastAsia="zh-CN" w:bidi="zh-CN"/>
      </w:rPr>
    </w:lvl>
  </w:abstractNum>
  <w:abstractNum w:abstractNumId="5">
    <w:nsid w:val="03C240C0"/>
    <w:multiLevelType w:val="multilevel"/>
    <w:tmpl w:val="03C240C0"/>
    <w:lvl w:ilvl="0" w:tentative="0">
      <w:start w:val="1"/>
      <w:numFmt w:val="decimal"/>
      <w:lvlText w:val="（%1）"/>
      <w:lvlJc w:val="left"/>
      <w:pPr>
        <w:ind w:left="633"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197" w:hanging="527"/>
      </w:pPr>
      <w:rPr>
        <w:rFonts w:hint="default"/>
        <w:lang w:val="zh-CN" w:eastAsia="zh-CN" w:bidi="zh-CN"/>
      </w:rPr>
    </w:lvl>
    <w:lvl w:ilvl="2" w:tentative="0">
      <w:start w:val="0"/>
      <w:numFmt w:val="bullet"/>
      <w:lvlText w:val="•"/>
      <w:lvlJc w:val="left"/>
      <w:pPr>
        <w:ind w:left="1754" w:hanging="527"/>
      </w:pPr>
      <w:rPr>
        <w:rFonts w:hint="default"/>
        <w:lang w:val="zh-CN" w:eastAsia="zh-CN" w:bidi="zh-CN"/>
      </w:rPr>
    </w:lvl>
    <w:lvl w:ilvl="3" w:tentative="0">
      <w:start w:val="0"/>
      <w:numFmt w:val="bullet"/>
      <w:lvlText w:val="•"/>
      <w:lvlJc w:val="left"/>
      <w:pPr>
        <w:ind w:left="2312" w:hanging="527"/>
      </w:pPr>
      <w:rPr>
        <w:rFonts w:hint="default"/>
        <w:lang w:val="zh-CN" w:eastAsia="zh-CN" w:bidi="zh-CN"/>
      </w:rPr>
    </w:lvl>
    <w:lvl w:ilvl="4" w:tentative="0">
      <w:start w:val="0"/>
      <w:numFmt w:val="bullet"/>
      <w:lvlText w:val="•"/>
      <w:lvlJc w:val="left"/>
      <w:pPr>
        <w:ind w:left="2869" w:hanging="527"/>
      </w:pPr>
      <w:rPr>
        <w:rFonts w:hint="default"/>
        <w:lang w:val="zh-CN" w:eastAsia="zh-CN" w:bidi="zh-CN"/>
      </w:rPr>
    </w:lvl>
    <w:lvl w:ilvl="5" w:tentative="0">
      <w:start w:val="0"/>
      <w:numFmt w:val="bullet"/>
      <w:lvlText w:val="•"/>
      <w:lvlJc w:val="left"/>
      <w:pPr>
        <w:ind w:left="3427" w:hanging="527"/>
      </w:pPr>
      <w:rPr>
        <w:rFonts w:hint="default"/>
        <w:lang w:val="zh-CN" w:eastAsia="zh-CN" w:bidi="zh-CN"/>
      </w:rPr>
    </w:lvl>
    <w:lvl w:ilvl="6" w:tentative="0">
      <w:start w:val="0"/>
      <w:numFmt w:val="bullet"/>
      <w:lvlText w:val="•"/>
      <w:lvlJc w:val="left"/>
      <w:pPr>
        <w:ind w:left="3984" w:hanging="527"/>
      </w:pPr>
      <w:rPr>
        <w:rFonts w:hint="default"/>
        <w:lang w:val="zh-CN" w:eastAsia="zh-CN" w:bidi="zh-CN"/>
      </w:rPr>
    </w:lvl>
    <w:lvl w:ilvl="7" w:tentative="0">
      <w:start w:val="0"/>
      <w:numFmt w:val="bullet"/>
      <w:lvlText w:val="•"/>
      <w:lvlJc w:val="left"/>
      <w:pPr>
        <w:ind w:left="4541" w:hanging="527"/>
      </w:pPr>
      <w:rPr>
        <w:rFonts w:hint="default"/>
        <w:lang w:val="zh-CN" w:eastAsia="zh-CN" w:bidi="zh-CN"/>
      </w:rPr>
    </w:lvl>
    <w:lvl w:ilvl="8" w:tentative="0">
      <w:start w:val="0"/>
      <w:numFmt w:val="bullet"/>
      <w:lvlText w:val="•"/>
      <w:lvlJc w:val="left"/>
      <w:pPr>
        <w:ind w:left="5099" w:hanging="527"/>
      </w:pPr>
      <w:rPr>
        <w:rFonts w:hint="default"/>
        <w:lang w:val="zh-CN" w:eastAsia="zh-CN" w:bidi="zh-CN"/>
      </w:rPr>
    </w:lvl>
  </w:abstractNum>
  <w:abstractNum w:abstractNumId="6">
    <w:nsid w:val="10F0DB0B"/>
    <w:multiLevelType w:val="multilevel"/>
    <w:tmpl w:val="10F0DB0B"/>
    <w:lvl w:ilvl="0" w:tentative="0">
      <w:start w:val="4"/>
      <w:numFmt w:val="lowerLetter"/>
      <w:lvlText w:val="%1."/>
      <w:lvlJc w:val="left"/>
      <w:pPr>
        <w:ind w:left="1280"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13" w:hanging="241"/>
      </w:pPr>
      <w:rPr>
        <w:rFonts w:hint="default"/>
        <w:lang w:val="zh-CN" w:eastAsia="zh-CN" w:bidi="zh-CN"/>
      </w:rPr>
    </w:lvl>
    <w:lvl w:ilvl="2" w:tentative="0">
      <w:start w:val="0"/>
      <w:numFmt w:val="bullet"/>
      <w:lvlText w:val="•"/>
      <w:lvlJc w:val="left"/>
      <w:pPr>
        <w:ind w:left="2946" w:hanging="241"/>
      </w:pPr>
      <w:rPr>
        <w:rFonts w:hint="default"/>
        <w:lang w:val="zh-CN" w:eastAsia="zh-CN" w:bidi="zh-CN"/>
      </w:rPr>
    </w:lvl>
    <w:lvl w:ilvl="3" w:tentative="0">
      <w:start w:val="0"/>
      <w:numFmt w:val="bullet"/>
      <w:lvlText w:val="•"/>
      <w:lvlJc w:val="left"/>
      <w:pPr>
        <w:ind w:left="3779" w:hanging="241"/>
      </w:pPr>
      <w:rPr>
        <w:rFonts w:hint="default"/>
        <w:lang w:val="zh-CN" w:eastAsia="zh-CN" w:bidi="zh-CN"/>
      </w:rPr>
    </w:lvl>
    <w:lvl w:ilvl="4" w:tentative="0">
      <w:start w:val="0"/>
      <w:numFmt w:val="bullet"/>
      <w:lvlText w:val="•"/>
      <w:lvlJc w:val="left"/>
      <w:pPr>
        <w:ind w:left="4612" w:hanging="241"/>
      </w:pPr>
      <w:rPr>
        <w:rFonts w:hint="default"/>
        <w:lang w:val="zh-CN" w:eastAsia="zh-CN" w:bidi="zh-CN"/>
      </w:rPr>
    </w:lvl>
    <w:lvl w:ilvl="5" w:tentative="0">
      <w:start w:val="0"/>
      <w:numFmt w:val="bullet"/>
      <w:lvlText w:val="•"/>
      <w:lvlJc w:val="left"/>
      <w:pPr>
        <w:ind w:left="5445" w:hanging="241"/>
      </w:pPr>
      <w:rPr>
        <w:rFonts w:hint="default"/>
        <w:lang w:val="zh-CN" w:eastAsia="zh-CN" w:bidi="zh-CN"/>
      </w:rPr>
    </w:lvl>
    <w:lvl w:ilvl="6" w:tentative="0">
      <w:start w:val="0"/>
      <w:numFmt w:val="bullet"/>
      <w:lvlText w:val="•"/>
      <w:lvlJc w:val="left"/>
      <w:pPr>
        <w:ind w:left="6278" w:hanging="241"/>
      </w:pPr>
      <w:rPr>
        <w:rFonts w:hint="default"/>
        <w:lang w:val="zh-CN" w:eastAsia="zh-CN" w:bidi="zh-CN"/>
      </w:rPr>
    </w:lvl>
    <w:lvl w:ilvl="7" w:tentative="0">
      <w:start w:val="0"/>
      <w:numFmt w:val="bullet"/>
      <w:lvlText w:val="•"/>
      <w:lvlJc w:val="left"/>
      <w:pPr>
        <w:ind w:left="7111" w:hanging="241"/>
      </w:pPr>
      <w:rPr>
        <w:rFonts w:hint="default"/>
        <w:lang w:val="zh-CN" w:eastAsia="zh-CN" w:bidi="zh-CN"/>
      </w:rPr>
    </w:lvl>
    <w:lvl w:ilvl="8" w:tentative="0">
      <w:start w:val="0"/>
      <w:numFmt w:val="bullet"/>
      <w:lvlText w:val="•"/>
      <w:lvlJc w:val="left"/>
      <w:pPr>
        <w:ind w:left="7944" w:hanging="241"/>
      </w:pPr>
      <w:rPr>
        <w:rFonts w:hint="default"/>
        <w:lang w:val="zh-CN" w:eastAsia="zh-CN" w:bidi="zh-CN"/>
      </w:rPr>
    </w:lvl>
  </w:abstractNum>
  <w:abstractNum w:abstractNumId="7">
    <w:nsid w:val="21B3B1B1"/>
    <w:multiLevelType w:val="multilevel"/>
    <w:tmpl w:val="21B3B1B1"/>
    <w:lvl w:ilvl="0" w:tentative="0">
      <w:start w:val="1"/>
      <w:numFmt w:val="decimal"/>
      <w:lvlText w:val="（%1）"/>
      <w:lvlJc w:val="left"/>
      <w:pPr>
        <w:ind w:left="173" w:hanging="525"/>
        <w:jc w:val="right"/>
      </w:pPr>
      <w:rPr>
        <w:rFonts w:hint="default" w:ascii="宋体" w:hAnsi="宋体" w:eastAsia="宋体" w:cs="宋体"/>
        <w:spacing w:val="-3"/>
        <w:w w:val="99"/>
        <w:sz w:val="19"/>
        <w:szCs w:val="19"/>
        <w:lang w:val="zh-CN" w:eastAsia="zh-CN" w:bidi="zh-CN"/>
      </w:rPr>
    </w:lvl>
    <w:lvl w:ilvl="1" w:tentative="0">
      <w:start w:val="1"/>
      <w:numFmt w:val="lowerLetter"/>
      <w:lvlText w:val="%2."/>
      <w:lvlJc w:val="left"/>
      <w:pPr>
        <w:ind w:left="693" w:hanging="209"/>
        <w:jc w:val="left"/>
      </w:pPr>
      <w:rPr>
        <w:rFonts w:hint="default" w:ascii="宋体" w:hAnsi="宋体" w:eastAsia="宋体" w:cs="宋体"/>
        <w:spacing w:val="-2"/>
        <w:w w:val="99"/>
        <w:sz w:val="19"/>
        <w:szCs w:val="19"/>
        <w:lang w:val="zh-CN" w:eastAsia="zh-CN" w:bidi="zh-CN"/>
      </w:rPr>
    </w:lvl>
    <w:lvl w:ilvl="2" w:tentative="0">
      <w:start w:val="0"/>
      <w:numFmt w:val="bullet"/>
      <w:lvlText w:val="•"/>
      <w:lvlJc w:val="left"/>
      <w:pPr>
        <w:ind w:left="1408" w:hanging="209"/>
      </w:pPr>
      <w:rPr>
        <w:rFonts w:hint="default"/>
        <w:lang w:val="zh-CN" w:eastAsia="zh-CN" w:bidi="zh-CN"/>
      </w:rPr>
    </w:lvl>
    <w:lvl w:ilvl="3" w:tentative="0">
      <w:start w:val="0"/>
      <w:numFmt w:val="bullet"/>
      <w:lvlText w:val="•"/>
      <w:lvlJc w:val="left"/>
      <w:pPr>
        <w:ind w:left="2117" w:hanging="209"/>
      </w:pPr>
      <w:rPr>
        <w:rFonts w:hint="default"/>
        <w:lang w:val="zh-CN" w:eastAsia="zh-CN" w:bidi="zh-CN"/>
      </w:rPr>
    </w:lvl>
    <w:lvl w:ilvl="4" w:tentative="0">
      <w:start w:val="0"/>
      <w:numFmt w:val="bullet"/>
      <w:lvlText w:val="•"/>
      <w:lvlJc w:val="left"/>
      <w:pPr>
        <w:ind w:left="2825" w:hanging="209"/>
      </w:pPr>
      <w:rPr>
        <w:rFonts w:hint="default"/>
        <w:lang w:val="zh-CN" w:eastAsia="zh-CN" w:bidi="zh-CN"/>
      </w:rPr>
    </w:lvl>
    <w:lvl w:ilvl="5" w:tentative="0">
      <w:start w:val="0"/>
      <w:numFmt w:val="bullet"/>
      <w:lvlText w:val="•"/>
      <w:lvlJc w:val="left"/>
      <w:pPr>
        <w:ind w:left="3534" w:hanging="209"/>
      </w:pPr>
      <w:rPr>
        <w:rFonts w:hint="default"/>
        <w:lang w:val="zh-CN" w:eastAsia="zh-CN" w:bidi="zh-CN"/>
      </w:rPr>
    </w:lvl>
    <w:lvl w:ilvl="6" w:tentative="0">
      <w:start w:val="0"/>
      <w:numFmt w:val="bullet"/>
      <w:lvlText w:val="•"/>
      <w:lvlJc w:val="left"/>
      <w:pPr>
        <w:ind w:left="4242" w:hanging="209"/>
      </w:pPr>
      <w:rPr>
        <w:rFonts w:hint="default"/>
        <w:lang w:val="zh-CN" w:eastAsia="zh-CN" w:bidi="zh-CN"/>
      </w:rPr>
    </w:lvl>
    <w:lvl w:ilvl="7" w:tentative="0">
      <w:start w:val="0"/>
      <w:numFmt w:val="bullet"/>
      <w:lvlText w:val="•"/>
      <w:lvlJc w:val="left"/>
      <w:pPr>
        <w:ind w:left="4951" w:hanging="209"/>
      </w:pPr>
      <w:rPr>
        <w:rFonts w:hint="default"/>
        <w:lang w:val="zh-CN" w:eastAsia="zh-CN" w:bidi="zh-CN"/>
      </w:rPr>
    </w:lvl>
    <w:lvl w:ilvl="8" w:tentative="0">
      <w:start w:val="0"/>
      <w:numFmt w:val="bullet"/>
      <w:lvlText w:val="•"/>
      <w:lvlJc w:val="left"/>
      <w:pPr>
        <w:ind w:left="5659" w:hanging="209"/>
      </w:pPr>
      <w:rPr>
        <w:rFonts w:hint="default"/>
        <w:lang w:val="zh-CN" w:eastAsia="zh-CN" w:bidi="zh-CN"/>
      </w:rPr>
    </w:lvl>
  </w:abstractNum>
  <w:abstractNum w:abstractNumId="8">
    <w:nsid w:val="251342A6"/>
    <w:multiLevelType w:val="multilevel"/>
    <w:tmpl w:val="251342A6"/>
    <w:lvl w:ilvl="0" w:tentative="0">
      <w:start w:val="1"/>
      <w:numFmt w:val="decimal"/>
      <w:lvlText w:val="(%1)"/>
      <w:lvlJc w:val="left"/>
      <w:pPr>
        <w:ind w:left="1153"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05" w:hanging="361"/>
      </w:pPr>
      <w:rPr>
        <w:rFonts w:hint="default"/>
        <w:lang w:val="zh-CN" w:eastAsia="zh-CN" w:bidi="zh-CN"/>
      </w:rPr>
    </w:lvl>
    <w:lvl w:ilvl="2" w:tentative="0">
      <w:start w:val="0"/>
      <w:numFmt w:val="bullet"/>
      <w:lvlText w:val="•"/>
      <w:lvlJc w:val="left"/>
      <w:pPr>
        <w:ind w:left="2850" w:hanging="361"/>
      </w:pPr>
      <w:rPr>
        <w:rFonts w:hint="default"/>
        <w:lang w:val="zh-CN" w:eastAsia="zh-CN" w:bidi="zh-CN"/>
      </w:rPr>
    </w:lvl>
    <w:lvl w:ilvl="3" w:tentative="0">
      <w:start w:val="0"/>
      <w:numFmt w:val="bullet"/>
      <w:lvlText w:val="•"/>
      <w:lvlJc w:val="left"/>
      <w:pPr>
        <w:ind w:left="3695" w:hanging="361"/>
      </w:pPr>
      <w:rPr>
        <w:rFonts w:hint="default"/>
        <w:lang w:val="zh-CN" w:eastAsia="zh-CN" w:bidi="zh-CN"/>
      </w:rPr>
    </w:lvl>
    <w:lvl w:ilvl="4" w:tentative="0">
      <w:start w:val="0"/>
      <w:numFmt w:val="bullet"/>
      <w:lvlText w:val="•"/>
      <w:lvlJc w:val="left"/>
      <w:pPr>
        <w:ind w:left="4540" w:hanging="361"/>
      </w:pPr>
      <w:rPr>
        <w:rFonts w:hint="default"/>
        <w:lang w:val="zh-CN" w:eastAsia="zh-CN" w:bidi="zh-CN"/>
      </w:rPr>
    </w:lvl>
    <w:lvl w:ilvl="5" w:tentative="0">
      <w:start w:val="0"/>
      <w:numFmt w:val="bullet"/>
      <w:lvlText w:val="•"/>
      <w:lvlJc w:val="left"/>
      <w:pPr>
        <w:ind w:left="5385" w:hanging="361"/>
      </w:pPr>
      <w:rPr>
        <w:rFonts w:hint="default"/>
        <w:lang w:val="zh-CN" w:eastAsia="zh-CN" w:bidi="zh-CN"/>
      </w:rPr>
    </w:lvl>
    <w:lvl w:ilvl="6" w:tentative="0">
      <w:start w:val="0"/>
      <w:numFmt w:val="bullet"/>
      <w:lvlText w:val="•"/>
      <w:lvlJc w:val="left"/>
      <w:pPr>
        <w:ind w:left="6230" w:hanging="361"/>
      </w:pPr>
      <w:rPr>
        <w:rFonts w:hint="default"/>
        <w:lang w:val="zh-CN" w:eastAsia="zh-CN" w:bidi="zh-CN"/>
      </w:rPr>
    </w:lvl>
    <w:lvl w:ilvl="7" w:tentative="0">
      <w:start w:val="0"/>
      <w:numFmt w:val="bullet"/>
      <w:lvlText w:val="•"/>
      <w:lvlJc w:val="left"/>
      <w:pPr>
        <w:ind w:left="7075" w:hanging="361"/>
      </w:pPr>
      <w:rPr>
        <w:rFonts w:hint="default"/>
        <w:lang w:val="zh-CN" w:eastAsia="zh-CN" w:bidi="zh-CN"/>
      </w:rPr>
    </w:lvl>
    <w:lvl w:ilvl="8" w:tentative="0">
      <w:start w:val="0"/>
      <w:numFmt w:val="bullet"/>
      <w:lvlText w:val="•"/>
      <w:lvlJc w:val="left"/>
      <w:pPr>
        <w:ind w:left="7920" w:hanging="361"/>
      </w:pPr>
      <w:rPr>
        <w:rFonts w:hint="default"/>
        <w:lang w:val="zh-CN" w:eastAsia="zh-CN" w:bidi="zh-CN"/>
      </w:rPr>
    </w:lvl>
  </w:abstractNum>
  <w:abstractNum w:abstractNumId="9">
    <w:nsid w:val="40F245EA"/>
    <w:multiLevelType w:val="multilevel"/>
    <w:tmpl w:val="40F245EA"/>
    <w:lvl w:ilvl="0" w:tentative="0">
      <w:start w:val="1"/>
      <w:numFmt w:val="decimal"/>
      <w:lvlText w:val="（%1）"/>
      <w:lvlJc w:val="left"/>
      <w:pPr>
        <w:ind w:left="1033" w:hanging="601"/>
        <w:jc w:val="right"/>
      </w:pPr>
      <w:rPr>
        <w:rFonts w:hint="default" w:ascii="宋体" w:hAnsi="宋体" w:eastAsia="宋体" w:cs="宋体"/>
        <w:w w:val="100"/>
        <w:sz w:val="22"/>
        <w:szCs w:val="22"/>
        <w:lang w:val="zh-CN" w:eastAsia="zh-CN" w:bidi="zh-CN"/>
      </w:rPr>
    </w:lvl>
    <w:lvl w:ilvl="1" w:tentative="0">
      <w:start w:val="0"/>
      <w:numFmt w:val="bullet"/>
      <w:lvlText w:val="•"/>
      <w:lvlJc w:val="left"/>
      <w:pPr>
        <w:ind w:left="1040" w:hanging="601"/>
      </w:pPr>
      <w:rPr>
        <w:rFonts w:hint="default"/>
        <w:lang w:val="zh-CN" w:eastAsia="zh-CN" w:bidi="zh-CN"/>
      </w:rPr>
    </w:lvl>
    <w:lvl w:ilvl="2" w:tentative="0">
      <w:start w:val="0"/>
      <w:numFmt w:val="bullet"/>
      <w:lvlText w:val="•"/>
      <w:lvlJc w:val="left"/>
      <w:pPr>
        <w:ind w:left="1992" w:hanging="601"/>
      </w:pPr>
      <w:rPr>
        <w:rFonts w:hint="default"/>
        <w:lang w:val="zh-CN" w:eastAsia="zh-CN" w:bidi="zh-CN"/>
      </w:rPr>
    </w:lvl>
    <w:lvl w:ilvl="3" w:tentative="0">
      <w:start w:val="0"/>
      <w:numFmt w:val="bullet"/>
      <w:lvlText w:val="•"/>
      <w:lvlJc w:val="left"/>
      <w:pPr>
        <w:ind w:left="2944" w:hanging="601"/>
      </w:pPr>
      <w:rPr>
        <w:rFonts w:hint="default"/>
        <w:lang w:val="zh-CN" w:eastAsia="zh-CN" w:bidi="zh-CN"/>
      </w:rPr>
    </w:lvl>
    <w:lvl w:ilvl="4" w:tentative="0">
      <w:start w:val="0"/>
      <w:numFmt w:val="bullet"/>
      <w:lvlText w:val="•"/>
      <w:lvlJc w:val="left"/>
      <w:pPr>
        <w:ind w:left="3896" w:hanging="601"/>
      </w:pPr>
      <w:rPr>
        <w:rFonts w:hint="default"/>
        <w:lang w:val="zh-CN" w:eastAsia="zh-CN" w:bidi="zh-CN"/>
      </w:rPr>
    </w:lvl>
    <w:lvl w:ilvl="5" w:tentative="0">
      <w:start w:val="0"/>
      <w:numFmt w:val="bullet"/>
      <w:lvlText w:val="•"/>
      <w:lvlJc w:val="left"/>
      <w:pPr>
        <w:ind w:left="4848" w:hanging="601"/>
      </w:pPr>
      <w:rPr>
        <w:rFonts w:hint="default"/>
        <w:lang w:val="zh-CN" w:eastAsia="zh-CN" w:bidi="zh-CN"/>
      </w:rPr>
    </w:lvl>
    <w:lvl w:ilvl="6" w:tentative="0">
      <w:start w:val="0"/>
      <w:numFmt w:val="bullet"/>
      <w:lvlText w:val="•"/>
      <w:lvlJc w:val="left"/>
      <w:pPr>
        <w:ind w:left="5801" w:hanging="601"/>
      </w:pPr>
      <w:rPr>
        <w:rFonts w:hint="default"/>
        <w:lang w:val="zh-CN" w:eastAsia="zh-CN" w:bidi="zh-CN"/>
      </w:rPr>
    </w:lvl>
    <w:lvl w:ilvl="7" w:tentative="0">
      <w:start w:val="0"/>
      <w:numFmt w:val="bullet"/>
      <w:lvlText w:val="•"/>
      <w:lvlJc w:val="left"/>
      <w:pPr>
        <w:ind w:left="6753" w:hanging="601"/>
      </w:pPr>
      <w:rPr>
        <w:rFonts w:hint="default"/>
        <w:lang w:val="zh-CN" w:eastAsia="zh-CN" w:bidi="zh-CN"/>
      </w:rPr>
    </w:lvl>
    <w:lvl w:ilvl="8" w:tentative="0">
      <w:start w:val="0"/>
      <w:numFmt w:val="bullet"/>
      <w:lvlText w:val="•"/>
      <w:lvlJc w:val="left"/>
      <w:pPr>
        <w:ind w:left="7705" w:hanging="601"/>
      </w:pPr>
      <w:rPr>
        <w:rFonts w:hint="default"/>
        <w:lang w:val="zh-CN" w:eastAsia="zh-CN" w:bidi="zh-CN"/>
      </w:rPr>
    </w:lvl>
  </w:abstractNum>
  <w:abstractNum w:abstractNumId="10">
    <w:nsid w:val="4D63189B"/>
    <w:multiLevelType w:val="multilevel"/>
    <w:tmpl w:val="4D63189B"/>
    <w:lvl w:ilvl="0" w:tentative="0">
      <w:start w:val="3"/>
      <w:numFmt w:val="decimal"/>
      <w:lvlText w:val="%1"/>
      <w:lvlJc w:val="left"/>
      <w:pPr>
        <w:ind w:left="424" w:hanging="720"/>
        <w:jc w:val="left"/>
      </w:pPr>
      <w:rPr>
        <w:rFonts w:hint="default"/>
        <w:lang w:val="zh-CN" w:eastAsia="zh-CN" w:bidi="zh-CN"/>
      </w:rPr>
    </w:lvl>
    <w:lvl w:ilvl="1" w:tentative="0">
      <w:start w:val="9"/>
      <w:numFmt w:val="decimal"/>
      <w:lvlText w:val="%1.%2"/>
      <w:lvlJc w:val="left"/>
      <w:pPr>
        <w:ind w:left="424" w:hanging="720"/>
        <w:jc w:val="left"/>
      </w:pPr>
      <w:rPr>
        <w:rFonts w:hint="default"/>
        <w:lang w:val="zh-CN" w:eastAsia="zh-CN" w:bidi="zh-CN"/>
      </w:rPr>
    </w:lvl>
    <w:lvl w:ilvl="2" w:tentative="0">
      <w:start w:val="1"/>
      <w:numFmt w:val="decimal"/>
      <w:lvlText w:val="%1.%2.%3"/>
      <w:lvlJc w:val="left"/>
      <w:pPr>
        <w:ind w:left="424" w:hanging="720"/>
        <w:jc w:val="left"/>
      </w:pPr>
      <w:rPr>
        <w:rFonts w:hint="default" w:ascii="宋体" w:hAnsi="宋体" w:eastAsia="宋体" w:cs="宋体"/>
        <w:spacing w:val="-16"/>
        <w:w w:val="100"/>
        <w:sz w:val="24"/>
        <w:szCs w:val="24"/>
        <w:lang w:val="zh-CN" w:eastAsia="zh-CN" w:bidi="zh-CN"/>
      </w:rPr>
    </w:lvl>
    <w:lvl w:ilvl="3" w:tentative="0">
      <w:start w:val="0"/>
      <w:numFmt w:val="bullet"/>
      <w:lvlText w:val="•"/>
      <w:lvlJc w:val="left"/>
      <w:pPr>
        <w:ind w:left="3177" w:hanging="720"/>
      </w:pPr>
      <w:rPr>
        <w:rFonts w:hint="default"/>
        <w:lang w:val="zh-CN" w:eastAsia="zh-CN" w:bidi="zh-CN"/>
      </w:rPr>
    </w:lvl>
    <w:lvl w:ilvl="4" w:tentative="0">
      <w:start w:val="0"/>
      <w:numFmt w:val="bullet"/>
      <w:lvlText w:val="•"/>
      <w:lvlJc w:val="left"/>
      <w:pPr>
        <w:ind w:left="4096" w:hanging="720"/>
      </w:pPr>
      <w:rPr>
        <w:rFonts w:hint="default"/>
        <w:lang w:val="zh-CN" w:eastAsia="zh-CN" w:bidi="zh-CN"/>
      </w:rPr>
    </w:lvl>
    <w:lvl w:ilvl="5" w:tentative="0">
      <w:start w:val="0"/>
      <w:numFmt w:val="bullet"/>
      <w:lvlText w:val="•"/>
      <w:lvlJc w:val="left"/>
      <w:pPr>
        <w:ind w:left="5015" w:hanging="720"/>
      </w:pPr>
      <w:rPr>
        <w:rFonts w:hint="default"/>
        <w:lang w:val="zh-CN" w:eastAsia="zh-CN" w:bidi="zh-CN"/>
      </w:rPr>
    </w:lvl>
    <w:lvl w:ilvl="6" w:tentative="0">
      <w:start w:val="0"/>
      <w:numFmt w:val="bullet"/>
      <w:lvlText w:val="•"/>
      <w:lvlJc w:val="left"/>
      <w:pPr>
        <w:ind w:left="5934" w:hanging="720"/>
      </w:pPr>
      <w:rPr>
        <w:rFonts w:hint="default"/>
        <w:lang w:val="zh-CN" w:eastAsia="zh-CN" w:bidi="zh-CN"/>
      </w:rPr>
    </w:lvl>
    <w:lvl w:ilvl="7" w:tentative="0">
      <w:start w:val="0"/>
      <w:numFmt w:val="bullet"/>
      <w:lvlText w:val="•"/>
      <w:lvlJc w:val="left"/>
      <w:pPr>
        <w:ind w:left="6853" w:hanging="720"/>
      </w:pPr>
      <w:rPr>
        <w:rFonts w:hint="default"/>
        <w:lang w:val="zh-CN" w:eastAsia="zh-CN" w:bidi="zh-CN"/>
      </w:rPr>
    </w:lvl>
    <w:lvl w:ilvl="8" w:tentative="0">
      <w:start w:val="0"/>
      <w:numFmt w:val="bullet"/>
      <w:lvlText w:val="•"/>
      <w:lvlJc w:val="left"/>
      <w:pPr>
        <w:ind w:left="7772" w:hanging="720"/>
      </w:pPr>
      <w:rPr>
        <w:rFonts w:hint="default"/>
        <w:lang w:val="zh-CN" w:eastAsia="zh-CN" w:bidi="zh-CN"/>
      </w:rPr>
    </w:lvl>
  </w:abstractNum>
  <w:abstractNum w:abstractNumId="11">
    <w:nsid w:val="51C4BC33"/>
    <w:multiLevelType w:val="multilevel"/>
    <w:tmpl w:val="51C4BC33"/>
    <w:lvl w:ilvl="0" w:tentative="0">
      <w:start w:val="1"/>
      <w:numFmt w:val="decimal"/>
      <w:lvlText w:val="%1."/>
      <w:lvlJc w:val="left"/>
      <w:pPr>
        <w:ind w:left="687" w:hanging="244"/>
        <w:jc w:val="left"/>
      </w:pPr>
      <w:rPr>
        <w:rFonts w:hint="default"/>
        <w:b/>
        <w:bCs/>
        <w:spacing w:val="0"/>
        <w:w w:val="99"/>
        <w:lang w:val="zh-CN" w:eastAsia="zh-CN" w:bidi="zh-CN"/>
      </w:rPr>
    </w:lvl>
    <w:lvl w:ilvl="1" w:tentative="0">
      <w:start w:val="1"/>
      <w:numFmt w:val="decimal"/>
      <w:lvlText w:val="%1.%2"/>
      <w:lvlJc w:val="left"/>
      <w:pPr>
        <w:ind w:left="912" w:hanging="48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504" w:hanging="716"/>
        <w:jc w:val="left"/>
      </w:pPr>
      <w:rPr>
        <w:rFonts w:hint="default" w:ascii="宋体" w:hAnsi="宋体" w:eastAsia="宋体" w:cs="宋体"/>
        <w:spacing w:val="-3"/>
        <w:w w:val="100"/>
        <w:sz w:val="24"/>
        <w:szCs w:val="24"/>
        <w:lang w:val="zh-CN" w:eastAsia="zh-CN" w:bidi="zh-CN"/>
      </w:rPr>
    </w:lvl>
    <w:lvl w:ilvl="3" w:tentative="0">
      <w:start w:val="1"/>
      <w:numFmt w:val="decimal"/>
      <w:lvlText w:val="（%4）"/>
      <w:lvlJc w:val="left"/>
      <w:pPr>
        <w:ind w:left="1640" w:hanging="601"/>
        <w:jc w:val="left"/>
      </w:pPr>
      <w:rPr>
        <w:rFonts w:hint="default" w:ascii="宋体" w:hAnsi="宋体" w:eastAsia="宋体" w:cs="宋体"/>
        <w:w w:val="100"/>
        <w:sz w:val="22"/>
        <w:szCs w:val="22"/>
        <w:lang w:val="zh-CN" w:eastAsia="zh-CN" w:bidi="zh-CN"/>
      </w:rPr>
    </w:lvl>
    <w:lvl w:ilvl="4" w:tentative="0">
      <w:start w:val="0"/>
      <w:numFmt w:val="bullet"/>
      <w:lvlText w:val="•"/>
      <w:lvlJc w:val="left"/>
      <w:pPr>
        <w:ind w:left="1740" w:hanging="601"/>
      </w:pPr>
      <w:rPr>
        <w:rFonts w:hint="default"/>
        <w:lang w:val="zh-CN" w:eastAsia="zh-CN" w:bidi="zh-CN"/>
      </w:rPr>
    </w:lvl>
    <w:lvl w:ilvl="5" w:tentative="0">
      <w:start w:val="0"/>
      <w:numFmt w:val="bullet"/>
      <w:lvlText w:val="•"/>
      <w:lvlJc w:val="left"/>
      <w:pPr>
        <w:ind w:left="3051" w:hanging="601"/>
      </w:pPr>
      <w:rPr>
        <w:rFonts w:hint="default"/>
        <w:lang w:val="zh-CN" w:eastAsia="zh-CN" w:bidi="zh-CN"/>
      </w:rPr>
    </w:lvl>
    <w:lvl w:ilvl="6" w:tentative="0">
      <w:start w:val="0"/>
      <w:numFmt w:val="bullet"/>
      <w:lvlText w:val="•"/>
      <w:lvlJc w:val="left"/>
      <w:pPr>
        <w:ind w:left="4363" w:hanging="601"/>
      </w:pPr>
      <w:rPr>
        <w:rFonts w:hint="default"/>
        <w:lang w:val="zh-CN" w:eastAsia="zh-CN" w:bidi="zh-CN"/>
      </w:rPr>
    </w:lvl>
    <w:lvl w:ilvl="7" w:tentative="0">
      <w:start w:val="0"/>
      <w:numFmt w:val="bullet"/>
      <w:lvlText w:val="•"/>
      <w:lvlJc w:val="left"/>
      <w:pPr>
        <w:ind w:left="5675" w:hanging="601"/>
      </w:pPr>
      <w:rPr>
        <w:rFonts w:hint="default"/>
        <w:lang w:val="zh-CN" w:eastAsia="zh-CN" w:bidi="zh-CN"/>
      </w:rPr>
    </w:lvl>
    <w:lvl w:ilvl="8" w:tentative="0">
      <w:start w:val="0"/>
      <w:numFmt w:val="bullet"/>
      <w:lvlText w:val="•"/>
      <w:lvlJc w:val="left"/>
      <w:pPr>
        <w:ind w:left="6986" w:hanging="601"/>
      </w:pPr>
      <w:rPr>
        <w:rFonts w:hint="default"/>
        <w:lang w:val="zh-CN" w:eastAsia="zh-CN" w:bidi="zh-CN"/>
      </w:rPr>
    </w:lvl>
  </w:abstractNum>
  <w:abstractNum w:abstractNumId="12">
    <w:nsid w:val="5FCE4367"/>
    <w:multiLevelType w:val="multilevel"/>
    <w:tmpl w:val="5FCE4367"/>
    <w:lvl w:ilvl="0" w:tentative="0">
      <w:start w:val="1"/>
      <w:numFmt w:val="decimal"/>
      <w:lvlText w:val="（%1）"/>
      <w:lvlJc w:val="left"/>
      <w:pPr>
        <w:ind w:left="63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83" w:hanging="525"/>
      </w:pPr>
      <w:rPr>
        <w:rFonts w:hint="default"/>
        <w:lang w:val="zh-CN" w:eastAsia="zh-CN" w:bidi="zh-CN"/>
      </w:rPr>
    </w:lvl>
    <w:lvl w:ilvl="2" w:tentative="0">
      <w:start w:val="0"/>
      <w:numFmt w:val="bullet"/>
      <w:lvlText w:val="•"/>
      <w:lvlJc w:val="left"/>
      <w:pPr>
        <w:ind w:left="1927" w:hanging="525"/>
      </w:pPr>
      <w:rPr>
        <w:rFonts w:hint="default"/>
        <w:lang w:val="zh-CN" w:eastAsia="zh-CN" w:bidi="zh-CN"/>
      </w:rPr>
    </w:lvl>
    <w:lvl w:ilvl="3" w:tentative="0">
      <w:start w:val="0"/>
      <w:numFmt w:val="bullet"/>
      <w:lvlText w:val="•"/>
      <w:lvlJc w:val="left"/>
      <w:pPr>
        <w:ind w:left="2571" w:hanging="525"/>
      </w:pPr>
      <w:rPr>
        <w:rFonts w:hint="default"/>
        <w:lang w:val="zh-CN" w:eastAsia="zh-CN" w:bidi="zh-CN"/>
      </w:rPr>
    </w:lvl>
    <w:lvl w:ilvl="4" w:tentative="0">
      <w:start w:val="0"/>
      <w:numFmt w:val="bullet"/>
      <w:lvlText w:val="•"/>
      <w:lvlJc w:val="left"/>
      <w:pPr>
        <w:ind w:left="3214" w:hanging="525"/>
      </w:pPr>
      <w:rPr>
        <w:rFonts w:hint="default"/>
        <w:lang w:val="zh-CN" w:eastAsia="zh-CN" w:bidi="zh-CN"/>
      </w:rPr>
    </w:lvl>
    <w:lvl w:ilvl="5" w:tentative="0">
      <w:start w:val="0"/>
      <w:numFmt w:val="bullet"/>
      <w:lvlText w:val="•"/>
      <w:lvlJc w:val="left"/>
      <w:pPr>
        <w:ind w:left="3858" w:hanging="525"/>
      </w:pPr>
      <w:rPr>
        <w:rFonts w:hint="default"/>
        <w:lang w:val="zh-CN" w:eastAsia="zh-CN" w:bidi="zh-CN"/>
      </w:rPr>
    </w:lvl>
    <w:lvl w:ilvl="6" w:tentative="0">
      <w:start w:val="0"/>
      <w:numFmt w:val="bullet"/>
      <w:lvlText w:val="•"/>
      <w:lvlJc w:val="left"/>
      <w:pPr>
        <w:ind w:left="4502" w:hanging="525"/>
      </w:pPr>
      <w:rPr>
        <w:rFonts w:hint="default"/>
        <w:lang w:val="zh-CN" w:eastAsia="zh-CN" w:bidi="zh-CN"/>
      </w:rPr>
    </w:lvl>
    <w:lvl w:ilvl="7" w:tentative="0">
      <w:start w:val="0"/>
      <w:numFmt w:val="bullet"/>
      <w:lvlText w:val="•"/>
      <w:lvlJc w:val="left"/>
      <w:pPr>
        <w:ind w:left="5145" w:hanging="525"/>
      </w:pPr>
      <w:rPr>
        <w:rFonts w:hint="default"/>
        <w:lang w:val="zh-CN" w:eastAsia="zh-CN" w:bidi="zh-CN"/>
      </w:rPr>
    </w:lvl>
    <w:lvl w:ilvl="8" w:tentative="0">
      <w:start w:val="0"/>
      <w:numFmt w:val="bullet"/>
      <w:lvlText w:val="•"/>
      <w:lvlJc w:val="left"/>
      <w:pPr>
        <w:ind w:left="5789" w:hanging="525"/>
      </w:pPr>
      <w:rPr>
        <w:rFonts w:hint="default"/>
        <w:lang w:val="zh-CN" w:eastAsia="zh-CN" w:bidi="zh-CN"/>
      </w:rPr>
    </w:lvl>
  </w:abstractNum>
  <w:num w:numId="1">
    <w:abstractNumId w:val="12"/>
  </w:num>
  <w:num w:numId="2">
    <w:abstractNumId w:val="4"/>
  </w:num>
  <w:num w:numId="3">
    <w:abstractNumId w:val="7"/>
  </w:num>
  <w:num w:numId="4">
    <w:abstractNumId w:val="0"/>
  </w:num>
  <w:num w:numId="5">
    <w:abstractNumId w:val="5"/>
  </w:num>
  <w:num w:numId="6">
    <w:abstractNumId w:val="2"/>
  </w:num>
  <w:num w:numId="7">
    <w:abstractNumId w:val="11"/>
  </w:num>
  <w:num w:numId="8">
    <w:abstractNumId w:val="3"/>
  </w:num>
  <w:num w:numId="9">
    <w:abstractNumId w:val="1"/>
  </w:num>
  <w:num w:numId="10">
    <w:abstractNumId w:val="8"/>
  </w:num>
  <w:num w:numId="11">
    <w:abstractNumId w:val="9"/>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87D07"/>
    <w:rsid w:val="160842F4"/>
    <w:rsid w:val="1DFB313D"/>
    <w:rsid w:val="1E5E738C"/>
    <w:rsid w:val="22961F57"/>
    <w:rsid w:val="36EB4FEF"/>
    <w:rsid w:val="3FEB3CAB"/>
    <w:rsid w:val="51636751"/>
    <w:rsid w:val="599E1D60"/>
    <w:rsid w:val="6CB81ECA"/>
    <w:rsid w:val="76EE7201"/>
    <w:rsid w:val="78A45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9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semiHidden/>
    <w:unhideWhenUsed/>
    <w:qFormat/>
    <w:uiPriority w:val="99"/>
    <w:pPr>
      <w:spacing w:before="45"/>
      <w:ind w:left="1881"/>
      <w:outlineLvl w:val="2"/>
    </w:pPr>
    <w:rPr>
      <w:rFonts w:ascii="黑体" w:hAnsi="黑体" w:eastAsia="黑体" w:cs="黑体"/>
      <w:sz w:val="40"/>
      <w:szCs w:val="40"/>
    </w:rPr>
  </w:style>
  <w:style w:type="paragraph" w:styleId="5">
    <w:name w:val="heading 9"/>
    <w:basedOn w:val="1"/>
    <w:next w:val="1"/>
    <w:semiHidden/>
    <w:unhideWhenUsed/>
    <w:qFormat/>
    <w:uiPriority w:val="99"/>
    <w:pPr>
      <w:ind w:right="1061"/>
      <w:jc w:val="center"/>
      <w:outlineLvl w:val="8"/>
    </w:pPr>
    <w:rPr>
      <w:rFonts w:ascii="黑体" w:hAnsi="黑体" w:eastAsia="黑体" w:cs="黑体"/>
      <w:sz w:val="30"/>
      <w:szCs w:val="30"/>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30"/>
    </w:pPr>
    <w:rPr>
      <w:sz w:val="32"/>
      <w:szCs w:val="20"/>
    </w:rPr>
  </w:style>
  <w:style w:type="paragraph" w:styleId="6">
    <w:name w:val="Body Text"/>
    <w:basedOn w:val="1"/>
    <w:next w:val="1"/>
    <w:qFormat/>
    <w:uiPriority w:val="0"/>
    <w:pPr>
      <w:spacing w:after="120" w:afterLines="0"/>
    </w:pPr>
  </w:style>
  <w:style w:type="paragraph" w:styleId="7">
    <w:name w:val="footer"/>
    <w:basedOn w:val="1"/>
    <w:unhideWhenUsed/>
    <w:qFormat/>
    <w:uiPriority w:val="99"/>
    <w:pPr>
      <w:tabs>
        <w:tab w:val="center" w:pos="4153"/>
        <w:tab w:val="right" w:pos="8306"/>
      </w:tabs>
      <w:snapToGrid w:val="0"/>
    </w:pPr>
    <w:rPr>
      <w:sz w:val="18"/>
      <w:szCs w:val="18"/>
    </w:rPr>
  </w:style>
  <w:style w:type="paragraph" w:styleId="8">
    <w:name w:val="Normal (Web)"/>
    <w:basedOn w:val="1"/>
    <w:qFormat/>
    <w:uiPriority w:val="0"/>
    <w:rPr>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样式 标题 3 + (中文) 黑体 小四 非加粗 段前: 7.8 磅 段后: 0 磅 行距: 固定值 20 磅"/>
    <w:basedOn w:val="4"/>
    <w:semiHidden/>
    <w:qFormat/>
    <w:uiPriority w:val="99"/>
    <w:pPr>
      <w:spacing w:line="400" w:lineRule="exact"/>
    </w:pPr>
  </w:style>
  <w:style w:type="paragraph" w:customStyle="1" w:styleId="13">
    <w:name w:val="Table Paragraph"/>
    <w:basedOn w:val="1"/>
    <w:semiHidden/>
    <w:qFormat/>
    <w:uiPriority w:val="99"/>
  </w:style>
  <w:style w:type="table" w:customStyle="1" w:styleId="14">
    <w:name w:val="Table Normal"/>
    <w:semiHidden/>
    <w:unhideWhenUsed/>
    <w:qFormat/>
    <w:uiPriority w:val="2"/>
    <w:tblPr>
      <w:tblCellMar>
        <w:top w:w="0" w:type="dxa"/>
        <w:left w:w="0" w:type="dxa"/>
        <w:bottom w:w="0" w:type="dxa"/>
        <w:right w:w="0" w:type="dxa"/>
      </w:tblCellMar>
    </w:tblPr>
  </w:style>
  <w:style w:type="paragraph" w:customStyle="1" w:styleId="15">
    <w:name w:val="Other|1"/>
    <w:basedOn w:val="1"/>
    <w:qFormat/>
    <w:uiPriority w:val="0"/>
    <w:pPr>
      <w:widowControl w:val="0"/>
      <w:shd w:val="clear" w:color="auto" w:fill="auto"/>
      <w:jc w:val="center"/>
    </w:pPr>
    <w:rPr>
      <w:rFonts w:ascii="宋体" w:hAnsi="宋体" w:eastAsia="宋体" w:cs="宋体"/>
      <w:sz w:val="32"/>
      <w:szCs w:val="32"/>
      <w:u w:val="single"/>
      <w:shd w:val="clear" w:color="auto" w:fill="FFFFFF"/>
      <w:lang w:val="zh-TW" w:eastAsia="zh-TW" w:bidi="zh-TW"/>
    </w:rPr>
  </w:style>
  <w:style w:type="paragraph" w:styleId="16">
    <w:name w:val="List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2021-05-08T03:47:00Z</dcterms:created>
  <dc:creator>Administrator</dc:creator>
  <cp:lastModifiedBy>疯子。</cp:lastModifiedBy>
  <cp:lastPrinted>2021-09-18T02:37:00Z</cp:lastPrinted>
  <dcterms:modified xsi:type="dcterms:W3CDTF">2021-09-18T08:36:58Z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EE4D9BEAE9614344AE667513D2706CAB</vt:lpwstr>
  </property>
</Properties>
</file>